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Техническое задание</w:t>
      </w:r>
      <w:r/>
    </w:p>
    <w:tbl>
      <w:tblPr>
        <w:tblStyle w:val="879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5664"/>
      </w:tblGrid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№ п</w:t>
            </w:r>
            <w:r>
              <w:rPr>
                <w:lang w:val="en-US"/>
              </w:rPr>
              <w:t xml:space="preserve">/</w:t>
            </w:r>
            <w:r>
              <w:t xml:space="preserve">п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Перечень основных данных и требований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Основные данные и требования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Наименование работ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Редевелопмент</w:t>
            </w:r>
            <w:r>
              <w:t xml:space="preserve"> здания </w:t>
            </w:r>
            <w:r>
              <w:t xml:space="preserve">экспериментальной ТЭЦ 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2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Сроки выполнения работ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До 31.10.2029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3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Описание объекта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В состав имущественного комплекса</w:t>
            </w:r>
            <w:r>
              <w:t xml:space="preserve"> Заказчика</w:t>
            </w:r>
            <w:r>
              <w:t xml:space="preserve"> входят земельный участок (площадью 3,4 Га,</w:t>
            </w:r>
            <w:r>
              <w:t xml:space="preserve">) и 14 строений, включающих научно-исследовательские лаборатории.</w:t>
            </w:r>
            <w:r/>
          </w:p>
          <w:p>
            <w:r/>
            <w:r/>
          </w:p>
          <w:p>
            <w:r>
              <w:t xml:space="preserve">Объекты недвижимости представляют собой отдельно стоящие здания различного назначения, введенные в эксплуатацию в период с 1920х-60х г.: офисные здания, производственные помещения, лабораторные корпуса. Указанные Объекты не</w:t>
            </w:r>
            <w:r>
              <w:t xml:space="preserve">движимости оснащены инженерными системами, в том числе высоковольтным распределительным оборудованием, большим трансформаторным парком, введенными в эксплуатацию в тот же период, имеющими разный уровень технологического развития и степень износа более 80%.</w:t>
            </w:r>
            <w:r/>
          </w:p>
          <w:p>
            <w:r/>
            <w:r/>
          </w:p>
          <w:p>
            <w:r>
              <w:t xml:space="preserve">На текущий момент разработана концепция реновации комплекса, учитывающая современные архитектурные и градостроительные тенденции развития г. Москвы, предусматривающая создание в здании современных офисных, коворкингов, переговорных зон и конференц-зала.</w:t>
            </w:r>
            <w:r/>
          </w:p>
          <w:p>
            <w:r/>
            <w:r/>
          </w:p>
          <w:p>
            <w:r>
              <w:t xml:space="preserve">Реализация проекта </w:t>
            </w:r>
            <w:r>
              <w:t xml:space="preserve">редевелопмента</w:t>
            </w:r>
            <w:r>
              <w:t xml:space="preserve"> позволит соз</w:t>
            </w:r>
            <w:r>
              <w:t xml:space="preserve">дать на территории города Москвы многофункциональный комплекс, сочетающий в себе новые высокотехнологичные рабочие места, инфраструктуру для научной и исследовательской деятельности, пространство для проведения выставок и профильных отраслевых мероприятий.</w:t>
            </w:r>
            <w:r/>
          </w:p>
          <w:p>
            <w:r/>
            <w:r/>
          </w:p>
          <w:p>
            <w:r>
              <w:t xml:space="preserve">В границу реализации проекта входит здание Экспериментальной ТЭЦ</w:t>
            </w:r>
            <w:r/>
          </w:p>
          <w:p>
            <w:r/>
            <w:r/>
          </w:p>
          <w:p>
            <w:r>
              <w:t xml:space="preserve">На текущий момент ЭТЭЦ выведена из эксплуатации, энергетическое оборудование демонтировано и вывезено. На объекте находится только персонал, отвечающий за работоспособность инженерных систем.</w:t>
            </w:r>
            <w:r/>
          </w:p>
          <w:p>
            <w:r>
              <w:t xml:space="preserve">Общая </w:t>
            </w:r>
            <w:r>
              <w:t xml:space="preserve">площадь</w:t>
            </w:r>
            <w:r>
              <w:t xml:space="preserve"> </w:t>
            </w:r>
            <w:r>
              <w:t xml:space="preserve">редевелопмента</w:t>
            </w:r>
            <w:r>
              <w:t xml:space="preserve"> </w:t>
            </w:r>
            <w:r>
              <w:t xml:space="preserve">ЭТЭЦ</w:t>
            </w:r>
            <w:r>
              <w:t xml:space="preserve"> предварительно определена в размере </w:t>
            </w:r>
            <w:r/>
          </w:p>
          <w:p>
            <w:r>
              <w:t xml:space="preserve">19 096 м2, из которых:</w:t>
            </w:r>
            <w:r/>
          </w:p>
          <w:p>
            <w:pPr>
              <w:pStyle w:val="880"/>
              <w:numPr>
                <w:ilvl w:val="0"/>
                <w:numId w:val="12"/>
              </w:numPr>
            </w:pPr>
            <w:r>
              <w:t xml:space="preserve">5 047 м</w:t>
            </w:r>
            <w:r>
              <w:t xml:space="preserve">2  –</w:t>
            </w:r>
            <w:r>
              <w:t xml:space="preserve"> места общего пользования и технические помещения,</w:t>
            </w:r>
            <w:r/>
          </w:p>
          <w:p>
            <w:pPr>
              <w:pStyle w:val="880"/>
              <w:numPr>
                <w:ilvl w:val="0"/>
                <w:numId w:val="12"/>
              </w:numPr>
            </w:pPr>
            <w:r>
              <w:t xml:space="preserve">14 049 м2 - </w:t>
            </w:r>
            <w:r>
              <w:t xml:space="preserve">арендопригодная</w:t>
            </w:r>
            <w:r>
              <w:t xml:space="preserve"> площадь, в т.ч. </w:t>
            </w:r>
            <w:r/>
          </w:p>
          <w:p>
            <w:r>
              <w:t xml:space="preserve">- 9 590 м2 предполагается сдавать аренду как офисные помещения,</w:t>
            </w:r>
            <w:r/>
          </w:p>
          <w:p>
            <w:r>
              <w:t xml:space="preserve">- 2 000 м2 предполагается сдавать аренду как коворкинг,</w:t>
            </w:r>
            <w:r/>
          </w:p>
          <w:p>
            <w:r>
              <w:t xml:space="preserve">- 2 459 м2 предполагается сдавать в аренду как лабораторные помещения.</w:t>
            </w:r>
            <w:r/>
          </w:p>
          <w:p>
            <w:r/>
            <w:r/>
          </w:p>
          <w:p>
            <w:r/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4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Состав работ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Объём проекта (в форме основных укрупнённых пакетов работ) включает в себя: </w:t>
            </w:r>
            <w:r/>
          </w:p>
          <w:p>
            <w:pPr>
              <w:pStyle w:val="880"/>
              <w:numPr>
                <w:ilvl w:val="0"/>
                <w:numId w:val="1"/>
              </w:numPr>
            </w:pPr>
            <w:r>
              <w:t xml:space="preserve">Разработка и утверждение проекта на </w:t>
            </w:r>
            <w:r>
              <w:t xml:space="preserve">редевелопмент</w:t>
            </w:r>
            <w:r>
              <w:t xml:space="preserve"> здания </w:t>
            </w:r>
            <w:r>
              <w:t xml:space="preserve">ЭТЭЦ</w:t>
            </w:r>
            <w:r>
              <w:t xml:space="preserve">т</w:t>
            </w:r>
            <w:r>
              <w:t xml:space="preserve">;</w:t>
            </w:r>
            <w:r/>
          </w:p>
          <w:p>
            <w:pPr>
              <w:pStyle w:val="880"/>
              <w:numPr>
                <w:ilvl w:val="0"/>
                <w:numId w:val="1"/>
              </w:numPr>
            </w:pPr>
            <w:r>
              <w:t xml:space="preserve">Выполнение СМР, в т.ч.:</w:t>
            </w:r>
            <w:r/>
          </w:p>
          <w:p>
            <w:r>
              <w:t xml:space="preserve">- капитальное строительство (</w:t>
            </w:r>
            <w:r>
              <w:t xml:space="preserve">Shell&amp;Core</w:t>
            </w:r>
            <w:r>
              <w:t xml:space="preserve">):</w:t>
            </w:r>
            <w:r/>
          </w:p>
          <w:p>
            <w:r>
              <w:t xml:space="preserve">1. демонтажные работы, </w:t>
            </w:r>
            <w:r>
              <w:t xml:space="preserve">демеркуризация</w:t>
            </w:r>
            <w:r>
              <w:t xml:space="preserve"> (при </w:t>
            </w:r>
            <w:r>
              <w:t xml:space="preserve">необходимсоти</w:t>
            </w:r>
            <w:r>
              <w:t xml:space="preserve">)</w:t>
            </w:r>
            <w:r/>
          </w:p>
          <w:p>
            <w:r>
              <w:t xml:space="preserve">2</w:t>
            </w:r>
            <w:r>
              <w:rPr>
                <w:b/>
              </w:rPr>
              <w:t xml:space="preserve">. общестроительные работы</w:t>
            </w:r>
            <w:r/>
          </w:p>
          <w:p>
            <w:pPr>
              <w:pStyle w:val="880"/>
              <w:numPr>
                <w:ilvl w:val="0"/>
                <w:numId w:val="3"/>
              </w:numPr>
            </w:pPr>
            <w:r>
              <w:t xml:space="preserve">Работы по конструктиву здания (усиления и ремонт)</w:t>
            </w:r>
            <w:r/>
          </w:p>
          <w:p>
            <w:pPr>
              <w:pStyle w:val="880"/>
              <w:numPr>
                <w:ilvl w:val="0"/>
                <w:numId w:val="3"/>
              </w:numPr>
            </w:pPr>
            <w:r>
              <w:t xml:space="preserve">Работы по фасадам и светопрозрачным конструкциям</w:t>
            </w:r>
            <w:r/>
          </w:p>
          <w:p>
            <w:pPr>
              <w:pStyle w:val="880"/>
              <w:numPr>
                <w:ilvl w:val="0"/>
                <w:numId w:val="3"/>
              </w:numPr>
            </w:pPr>
            <w:r>
              <w:t xml:space="preserve">Вертикальный транспорт</w:t>
            </w:r>
            <w:r/>
          </w:p>
          <w:p>
            <w:pPr>
              <w:pStyle w:val="880"/>
              <w:numPr>
                <w:ilvl w:val="0"/>
                <w:numId w:val="3"/>
              </w:numPr>
            </w:pPr>
            <w:r>
              <w:t xml:space="preserve">Работы по устройству новых монолитных перекрытий в основном зале</w:t>
            </w:r>
            <w:r/>
          </w:p>
          <w:p>
            <w:pPr>
              <w:pStyle w:val="880"/>
              <w:numPr>
                <w:ilvl w:val="0"/>
                <w:numId w:val="3"/>
              </w:numPr>
            </w:pPr>
            <w:r>
              <w:t xml:space="preserve">Сопутствующие работы по усилению конструкций для устройства новых перекрытий</w:t>
            </w:r>
            <w:r/>
          </w:p>
          <w:p>
            <w:r>
              <w:t xml:space="preserve">3.</w:t>
            </w:r>
            <w:r>
              <w:tab/>
              <w:t xml:space="preserve">инженерные системы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Отопления и Теплоснабжения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Вентиляции, Дымоудаления и Подпора воздуха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Кондиционирования воздуха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Индивидуальный тепловой пункт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Водоснабжения и Водоотведения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водяного пожаротушения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Электроснабжения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Система Фасадного освещения</w:t>
            </w:r>
            <w:r/>
          </w:p>
          <w:p>
            <w:pPr>
              <w:pStyle w:val="880"/>
              <w:numPr>
                <w:ilvl w:val="0"/>
                <w:numId w:val="4"/>
              </w:numPr>
            </w:pPr>
            <w:r>
              <w:t xml:space="preserve">Молнезащита</w:t>
            </w:r>
            <w:r>
              <w:t xml:space="preserve">, заземление и уравнивание потенциалов</w:t>
            </w:r>
            <w:r/>
          </w:p>
          <w:p>
            <w:r>
              <w:t xml:space="preserve">4.</w:t>
            </w:r>
            <w:r>
              <w:tab/>
              <w:t xml:space="preserve">центральные слаботочные системы</w:t>
            </w:r>
            <w:r/>
          </w:p>
          <w:p>
            <w:pPr>
              <w:pStyle w:val="880"/>
              <w:numPr>
                <w:ilvl w:val="0"/>
                <w:numId w:val="5"/>
              </w:numPr>
            </w:pPr>
            <w:r>
              <w:t xml:space="preserve">Автоматизированная система диспетчеризации и управления центральными инженерными системами здания</w:t>
            </w:r>
            <w:r/>
          </w:p>
          <w:p>
            <w:pPr>
              <w:pStyle w:val="880"/>
              <w:numPr>
                <w:ilvl w:val="0"/>
                <w:numId w:val="5"/>
              </w:numPr>
            </w:pPr>
            <w:r>
              <w:t xml:space="preserve">Автоматизированная система технического учёта энергоресурсов (АСТУЭ)</w:t>
            </w:r>
            <w:r/>
          </w:p>
          <w:p>
            <w:pPr>
              <w:pStyle w:val="880"/>
              <w:numPr>
                <w:ilvl w:val="0"/>
                <w:numId w:val="5"/>
              </w:numPr>
            </w:pPr>
            <w:r>
              <w:t xml:space="preserve">Региональная автоматизированная система централизованного оповещения населения (РАСЦО)</w:t>
            </w:r>
            <w:r/>
          </w:p>
          <w:p>
            <w:pPr>
              <w:pStyle w:val="880"/>
              <w:numPr>
                <w:ilvl w:val="0"/>
                <w:numId w:val="5"/>
              </w:numPr>
            </w:pPr>
            <w:r>
              <w:t xml:space="preserve">Охранно-защитная </w:t>
            </w:r>
            <w:r>
              <w:t xml:space="preserve">дератизационная</w:t>
            </w:r>
            <w:r>
              <w:t xml:space="preserve"> система</w:t>
            </w:r>
            <w:r/>
          </w:p>
          <w:p>
            <w:r>
              <w:t xml:space="preserve">- внутренние работы (</w:t>
            </w:r>
            <w:r>
              <w:t xml:space="preserve">Fit-Out</w:t>
            </w:r>
            <w:r>
              <w:t xml:space="preserve">):</w:t>
            </w:r>
            <w:r/>
          </w:p>
          <w:p>
            <w:r>
              <w:t xml:space="preserve">1.</w:t>
            </w:r>
            <w:r>
              <w:tab/>
              <w:t xml:space="preserve">Общестроительные работы</w:t>
            </w:r>
            <w:r/>
          </w:p>
          <w:p>
            <w:pPr>
              <w:pStyle w:val="880"/>
              <w:numPr>
                <w:ilvl w:val="0"/>
                <w:numId w:val="6"/>
              </w:numPr>
            </w:pPr>
            <w:r>
              <w:t xml:space="preserve">Устройство перегородок</w:t>
            </w:r>
            <w:r/>
          </w:p>
          <w:p>
            <w:pPr>
              <w:pStyle w:val="880"/>
              <w:numPr>
                <w:ilvl w:val="0"/>
                <w:numId w:val="6"/>
              </w:numPr>
            </w:pPr>
            <w:r>
              <w:t xml:space="preserve">Отделка стен</w:t>
            </w:r>
            <w:r/>
          </w:p>
          <w:p>
            <w:pPr>
              <w:pStyle w:val="880"/>
              <w:numPr>
                <w:ilvl w:val="0"/>
                <w:numId w:val="6"/>
              </w:numPr>
            </w:pPr>
            <w:r>
              <w:t xml:space="preserve">Отделка полов</w:t>
            </w:r>
            <w:r/>
          </w:p>
          <w:p>
            <w:pPr>
              <w:pStyle w:val="880"/>
              <w:numPr>
                <w:ilvl w:val="0"/>
                <w:numId w:val="6"/>
              </w:numPr>
            </w:pPr>
            <w:r>
              <w:t xml:space="preserve">Отделка потолков</w:t>
            </w:r>
            <w:r/>
          </w:p>
          <w:p>
            <w:pPr>
              <w:pStyle w:val="880"/>
              <w:numPr>
                <w:ilvl w:val="0"/>
                <w:numId w:val="6"/>
              </w:numPr>
            </w:pPr>
            <w:r>
              <w:t xml:space="preserve">Заполнение дверных проемов</w:t>
            </w:r>
            <w:r/>
          </w:p>
          <w:p>
            <w:r>
              <w:t xml:space="preserve">2.</w:t>
            </w:r>
            <w:r>
              <w:tab/>
              <w:t xml:space="preserve">Внутренние инженерные системы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освещения </w:t>
            </w:r>
            <w:r/>
          </w:p>
          <w:p>
            <w:r>
              <w:t xml:space="preserve">3.</w:t>
            </w:r>
            <w:r>
              <w:tab/>
              <w:t xml:space="preserve">Слаботочные систем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автоматической пожарной сигнализации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оповещения и управление эвакуацией людей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Автоматическая установка газового пожаротушения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контроля управления доступом (СКУД)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охранного телевидения (СОТ)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охранно-тревожной сигнализации (ОС)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Структурированная кабельная система СКС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телефонной связи СТС</w:t>
            </w:r>
            <w:r/>
          </w:p>
          <w:p>
            <w:pPr>
              <w:pStyle w:val="880"/>
              <w:numPr>
                <w:ilvl w:val="0"/>
                <w:numId w:val="8"/>
              </w:numPr>
            </w:pPr>
            <w:r>
              <w:t xml:space="preserve">Система комплексного приёма телевидения и радиовещания </w:t>
            </w:r>
            <w:r>
              <w:t xml:space="preserve">СКПТиР</w:t>
            </w:r>
            <w:r/>
          </w:p>
          <w:p>
            <w:r>
              <w:t xml:space="preserve">- мебель и оборудование</w:t>
            </w:r>
            <w:r/>
          </w:p>
          <w:p>
            <w:pPr>
              <w:pStyle w:val="880"/>
              <w:numPr>
                <w:ilvl w:val="0"/>
                <w:numId w:val="1"/>
              </w:numPr>
              <w:spacing w:after="160" w:line="259" w:lineRule="auto"/>
            </w:pPr>
            <w:r>
              <w:t xml:space="preserve">Пуско-наладочные работы и передача </w:t>
            </w:r>
            <w:r>
              <w:t xml:space="preserve">здания </w:t>
            </w:r>
            <w:r>
              <w:t xml:space="preserve">в эксплуатацию.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5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Требования к подрядчику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pPr>
              <w:pStyle w:val="880"/>
              <w:numPr>
                <w:ilvl w:val="0"/>
                <w:numId w:val="10"/>
              </w:numPr>
            </w:pPr>
            <w:r>
              <w:t xml:space="preserve">В наличии имеются все необходимые лицензии, допуски, членство в СРО</w:t>
            </w:r>
            <w:r>
              <w:t xml:space="preserve"> (стройка, проектирование)</w:t>
            </w:r>
            <w:r>
              <w:t xml:space="preserve"> (4-й уровень ответственности);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t xml:space="preserve">Подрядчик </w:t>
            </w:r>
            <w:r>
              <w:t xml:space="preserve">не находится в стадии ликвидации, не признан банкротом;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t xml:space="preserve">Деятельность </w:t>
            </w:r>
            <w:r>
              <w:t xml:space="preserve">подрядчика </w:t>
            </w:r>
            <w:r>
              <w:t xml:space="preserve">не приостановлена;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t xml:space="preserve">Имеется подтверждённый опыт работы:</w:t>
            </w:r>
            <w:r/>
          </w:p>
          <w:p>
            <w:r>
              <w:t xml:space="preserve">1. опыт договора строительного подряда на строительство/реконструкцию ОКС;</w:t>
            </w:r>
            <w:r/>
          </w:p>
          <w:p>
            <w:r>
              <w:t xml:space="preserve">2. опыт участника как застройщика по строительству/реконструкции ОКС.</w:t>
            </w:r>
            <w:r/>
          </w:p>
          <w:p>
            <w:pPr>
              <w:pStyle w:val="880"/>
              <w:numPr>
                <w:ilvl w:val="0"/>
                <w:numId w:val="11"/>
              </w:numPr>
            </w:pPr>
            <w:r>
              <w:t xml:space="preserve">Имеется портфолио реализованных проектов;</w:t>
            </w:r>
            <w:r/>
          </w:p>
          <w:p>
            <w:pPr>
              <w:pStyle w:val="880"/>
              <w:numPr>
                <w:ilvl w:val="0"/>
                <w:numId w:val="11"/>
              </w:numPr>
            </w:pPr>
            <w:r>
              <w:t xml:space="preserve">Предоставлены рекомендации от предыдущих заказчиков (благодарственные письма или контакты для подтверждения);</w:t>
            </w:r>
            <w:r/>
          </w:p>
          <w:p>
            <w:pPr>
              <w:pStyle w:val="880"/>
              <w:numPr>
                <w:ilvl w:val="0"/>
                <w:numId w:val="11"/>
              </w:numPr>
            </w:pPr>
            <w:r>
              <w:t xml:space="preserve">Имеется успешный опыт прохождения </w:t>
            </w:r>
            <w:r>
              <w:t xml:space="preserve">Госэкспертизы</w:t>
            </w:r>
            <w:r>
              <w:t xml:space="preserve"> г. Москвы.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Перечень документов от подрядчика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pPr>
              <w:pStyle w:val="880"/>
              <w:numPr>
                <w:ilvl w:val="0"/>
                <w:numId w:val="10"/>
              </w:numPr>
            </w:pPr>
            <w:r>
              <w:rPr>
                <w:rFonts w:eastAsia="Times New Roman"/>
              </w:rPr>
              <w:t xml:space="preserve">Копии </w:t>
            </w:r>
            <w:r>
              <w:rPr>
                <w:rFonts w:eastAsia="Times New Roman"/>
              </w:rPr>
              <w:t xml:space="preserve">вы</w:t>
            </w:r>
            <w:r>
              <w:rPr>
                <w:rFonts w:eastAsia="Times New Roman"/>
              </w:rPr>
              <w:t xml:space="preserve">писок</w:t>
            </w:r>
            <w:r>
              <w:rPr>
                <w:rFonts w:eastAsia="Times New Roman"/>
              </w:rPr>
              <w:t xml:space="preserve"> СРО</w:t>
            </w:r>
            <w:r>
              <w:rPr>
                <w:rFonts w:eastAsia="Times New Roman"/>
              </w:rPr>
              <w:t xml:space="preserve">.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rPr>
                <w:rFonts w:eastAsia="Times New Roman"/>
              </w:rPr>
              <w:t xml:space="preserve">Выписка из ЕГРЮЛ / ЕГРИП (не старше 30 дней);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rPr>
                <w:rFonts w:eastAsia="Times New Roman"/>
              </w:rPr>
              <w:t xml:space="preserve">Копии договоров / актов, подтверждающих опыт выполнения аналогичных работ, портфолио реализованных проектов в свободной форме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rPr>
                <w:rFonts w:eastAsia="Times New Roman"/>
              </w:rPr>
              <w:t xml:space="preserve">Справка об отсутствии задолженности по налогам и сборам (ФНС).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rPr>
                <w:rFonts w:eastAsia="Times New Roman"/>
              </w:rPr>
              <w:t xml:space="preserve">Справка о численности персонала и наличии оборудования </w:t>
            </w:r>
            <w:r>
              <w:rPr>
                <w:rFonts w:eastAsia="Times New Roman"/>
              </w:rPr>
              <w:t xml:space="preserve">в свободной форме</w:t>
            </w:r>
            <w:r>
              <w:rPr>
                <w:rFonts w:eastAsia="Times New Roman"/>
              </w:rPr>
              <w:t xml:space="preserve">.</w:t>
            </w:r>
            <w:r/>
          </w:p>
          <w:p>
            <w:pPr>
              <w:pStyle w:val="880"/>
              <w:numPr>
                <w:ilvl w:val="0"/>
                <w:numId w:val="10"/>
              </w:numPr>
            </w:pPr>
            <w:r>
              <w:t xml:space="preserve">рекомендации от предыдущих заказчиков (благодарственные письма или контакты для подтверждения)</w:t>
            </w:r>
            <w:r>
              <w:t xml:space="preserve">.</w:t>
            </w:r>
            <w:r/>
          </w:p>
          <w:p>
            <w:pPr>
              <w:pStyle w:val="880"/>
            </w:pPr>
            <w:r/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6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Требования к качеству выполняемых работ и применяемым материалам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pPr>
              <w:pStyle w:val="880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Все работы должны выполняться в соответствии с требованиями СНиП и других действующих актов, регламентирующих технологию и качество производимых подрядной организацией работ;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0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Подрядчик самостоятельно обеспечивает производство работ всеми необходимыми материалами;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0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Подрядчик должен предоставить документы, подтверждающие качество и безопасность поставленного материала;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80"/>
              <w:numPr>
                <w:ilvl w:val="0"/>
                <w:numId w:val="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Качество выполненных работ должно советовать </w:t>
            </w:r>
            <w:r>
              <w:rPr>
                <w:color w:val="000000" w:themeColor="text1"/>
              </w:rPr>
              <w:t xml:space="preserve">техническому заданию, положением нормативных правовых актов, строительным нормам и правилам, требованиям ГОСТ, действующим национальным стандартам и техническим регламентам.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7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Требования к благоустройству территории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Территория должна быть очищена Подрядчиком от любых отходов образовавшегося в процессе работ.</w:t>
            </w:r>
            <w:r/>
          </w:p>
          <w:p>
            <w:r>
              <w:t xml:space="preserve">Вывоз мусора и других отходов, образовавшихся в ходе выполнения работ, осуществляется Подрядчиком в соответствии с действующим законодательством за счет собственных средств. 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8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Охрана труда и промышленная безопасность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t xml:space="preserve">При осуществлении деятельности, </w:t>
            </w:r>
            <w:r>
              <w:t xml:space="preserve">Подрядчик </w:t>
            </w:r>
            <w:r>
              <w:t xml:space="preserve">обязан строго соблюдать правила техники безопасности и охраны труда, предусмотренным действующим законодательством РФ, в том числе:</w:t>
            </w:r>
            <w:r/>
          </w:p>
          <w:p>
            <w:r>
              <w:t xml:space="preserve">-своевременно обеспечить персонал одеждой, требуемыми СИЗ;</w:t>
            </w:r>
            <w:r/>
          </w:p>
          <w:p>
            <w:r>
              <w:t xml:space="preserve">-соблюдать требования противопожарной безопасности;</w:t>
            </w:r>
            <w:r/>
          </w:p>
          <w:p>
            <w:r>
              <w:t xml:space="preserve">-требования действующего законодательства РФ об охране окружающей среды.</w:t>
            </w:r>
            <w:r/>
          </w:p>
          <w:p>
            <w:r/>
            <w:r/>
          </w:p>
          <w:p>
            <w:r>
              <w:t xml:space="preserve">Замечания и указания Заказчика, обусловленные как государственными, так и внутрикорпоративными правилами, по обеспечению вышеуказанных требований носят обязательный характер для персонала </w:t>
            </w:r>
            <w:r>
              <w:t xml:space="preserve">Подрядчика</w:t>
            </w:r>
            <w:r>
              <w:t xml:space="preserve">, участвующие в организации и производстве работ.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r>
              <w:t xml:space="preserve">9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Заказчик</w:t>
            </w:r>
            <w:r/>
          </w:p>
        </w:tc>
        <w:tc>
          <w:tcPr>
            <w:tcW w:w="5664" w:type="dxa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color w:val="000000"/>
                <w:highlight w:val="white"/>
              </w:rPr>
              <w:t xml:space="preserve">Компания Группы компаний Интер РАО</w:t>
            </w:r>
            <w:r/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shd w:val="nil" w:color="auto"/>
              <w:rPr>
                <w14:ligatures w14:val="none"/>
              </w:rPr>
            </w:pPr>
            <w:r>
              <w:t xml:space="preserve">10</w:t>
            </w:r>
            <w:r>
              <w:rPr>
                <w14:ligatures w14:val="none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shd w:val="nil" w:color="auto"/>
              <w:rPr>
                <w14:ligatures w14:val="none"/>
              </w:rPr>
            </w:pPr>
            <w:r>
              <w:t xml:space="preserve">Правовой статус процедуры закупки:</w:t>
            </w:r>
            <w:r>
              <w:rPr>
                <w14:ligatures w14:val="none"/>
              </w:rPr>
            </w:r>
          </w:p>
          <w:p>
            <w:pPr>
              <w:shd w:val="nil" w:color="auto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5664" w:type="dxa"/>
            <w:textDirection w:val="lrTb"/>
            <w:noWrap w:val="false"/>
          </w:tcPr>
          <w:p>
            <w:pPr>
              <w:pStyle w:val="881"/>
            </w:pPr>
            <w:r>
              <w:t xml:space="preserve">Данная процедура не является конкурсом, торгами и её проведение не регулируется статьями 447–44</w:t>
            </w:r>
            <w:r>
              <w:t xml:space="preserve">9 части первой Гражданского кодекса Российской Федерации. Данная процедура также не является публичным конкурсом и не регулируется статьями 1057–1065 части второй Гражданского кодекса Российской Федерации. Таким образом, данная процедура не накладывает на </w:t>
            </w:r>
            <w:r>
              <w:t xml:space="preserve">Заказчика соответствующего объёма гражданско-правовых обязательств.</w:t>
            </w:r>
            <w:r/>
          </w:p>
          <w:p>
            <w:pPr>
              <w:pStyle w:val="881"/>
            </w:pPr>
            <w:r>
              <w:t xml:space="preserve">По итогам д</w:t>
            </w:r>
            <w:r>
              <w:t xml:space="preserve">анной процедуры договор не заключается. Цель процедуры — отбор квалифицированных подрядчиков для возможного последующего взаимодействия. Решение о заключении договора с любым из участников принимается Заказчиком самостоятельно и вне рамок данной процедуры.</w:t>
            </w:r>
            <w:r/>
          </w:p>
          <w:p>
            <w:r/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3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1"/>
  </w:num>
  <w:num w:numId="8">
    <w:abstractNumId w:val="5"/>
  </w:num>
  <w:num w:numId="9">
    <w:abstractNumId w:val="8"/>
  </w:num>
  <w:num w:numId="10">
    <w:abstractNumId w:val="1"/>
  </w:num>
  <w:num w:numId="11">
    <w:abstractNumId w:val="6"/>
  </w:num>
  <w:num w:numId="12">
    <w:abstractNumId w:val="12"/>
  </w:num>
  <w:num w:numId="13">
    <w:abstractNumId w:val="7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1">
    <w:name w:val="Heading 1 Char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2">
    <w:name w:val="Heading 2 Char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683">
    <w:name w:val="Heading 3 Char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4">
    <w:name w:val="Heading 4 Char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5">
    <w:name w:val="Heading 5 Char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6">
    <w:name w:val="Heading 6 Char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7">
    <w:name w:val="Heading 7 Char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8 Char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9">
    <w:name w:val="Heading 9 Char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>
    <w:name w:val="Title Char"/>
    <w:basedOn w:val="709"/>
    <w:link w:val="722"/>
    <w:uiPriority w:val="10"/>
    <w:rPr>
      <w:sz w:val="48"/>
      <w:szCs w:val="48"/>
    </w:rPr>
  </w:style>
  <w:style w:type="character" w:styleId="691">
    <w:name w:val="Subtitle Char"/>
    <w:basedOn w:val="709"/>
    <w:link w:val="724"/>
    <w:uiPriority w:val="11"/>
    <w:rPr>
      <w:sz w:val="24"/>
      <w:szCs w:val="24"/>
    </w:rPr>
  </w:style>
  <w:style w:type="character" w:styleId="692">
    <w:name w:val="Quote Char"/>
    <w:link w:val="726"/>
    <w:uiPriority w:val="29"/>
    <w:rPr>
      <w:i/>
    </w:rPr>
  </w:style>
  <w:style w:type="character" w:styleId="693">
    <w:name w:val="Intense Quote Char"/>
    <w:link w:val="728"/>
    <w:uiPriority w:val="30"/>
    <w:rPr>
      <w:i/>
    </w:rPr>
  </w:style>
  <w:style w:type="character" w:styleId="694">
    <w:name w:val="Header Char"/>
    <w:basedOn w:val="709"/>
    <w:link w:val="730"/>
    <w:uiPriority w:val="99"/>
  </w:style>
  <w:style w:type="character" w:styleId="695">
    <w:name w:val="Footer Char"/>
    <w:basedOn w:val="709"/>
    <w:link w:val="732"/>
    <w:uiPriority w:val="99"/>
  </w:style>
  <w:style w:type="character" w:styleId="696">
    <w:name w:val="Caption Char"/>
    <w:basedOn w:val="709"/>
    <w:link w:val="734"/>
    <w:uiPriority w:val="35"/>
    <w:rPr>
      <w:b/>
      <w:bCs/>
      <w:color w:val="4f81bd" w:themeColor="accent1"/>
      <w:sz w:val="18"/>
      <w:szCs w:val="18"/>
    </w:rPr>
  </w:style>
  <w:style w:type="character" w:styleId="697">
    <w:name w:val="Footnote Text Char"/>
    <w:link w:val="862"/>
    <w:uiPriority w:val="99"/>
    <w:rPr>
      <w:sz w:val="18"/>
    </w:rPr>
  </w:style>
  <w:style w:type="character" w:styleId="698">
    <w:name w:val="Endnote Text Char"/>
    <w:link w:val="865"/>
    <w:uiPriority w:val="99"/>
    <w:rPr>
      <w:sz w:val="20"/>
    </w:rPr>
  </w:style>
  <w:style w:type="paragraph" w:styleId="699" w:default="1">
    <w:name w:val="Normal"/>
    <w:qFormat/>
  </w:style>
  <w:style w:type="paragraph" w:styleId="700">
    <w:name w:val="Heading 1"/>
    <w:basedOn w:val="699"/>
    <w:next w:val="699"/>
    <w:link w:val="71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699"/>
    <w:next w:val="699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02">
    <w:name w:val="Heading 3"/>
    <w:basedOn w:val="699"/>
    <w:next w:val="699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3">
    <w:name w:val="Heading 4"/>
    <w:basedOn w:val="699"/>
    <w:next w:val="699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4">
    <w:name w:val="Heading 5"/>
    <w:basedOn w:val="699"/>
    <w:next w:val="699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5">
    <w:name w:val="Heading 6"/>
    <w:basedOn w:val="699"/>
    <w:next w:val="699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Заголовок 1 Знак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1">
    <w:name w:val="No Spacing"/>
    <w:uiPriority w:val="1"/>
    <w:qFormat/>
    <w:pPr>
      <w:spacing w:after="0" w:line="240" w:lineRule="auto"/>
    </w:pPr>
  </w:style>
  <w:style w:type="paragraph" w:styleId="722">
    <w:name w:val="Title"/>
    <w:basedOn w:val="699"/>
    <w:next w:val="699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Заголовок Знак"/>
    <w:basedOn w:val="709"/>
    <w:link w:val="722"/>
    <w:uiPriority w:val="10"/>
    <w:rPr>
      <w:sz w:val="48"/>
      <w:szCs w:val="48"/>
    </w:rPr>
  </w:style>
  <w:style w:type="paragraph" w:styleId="724">
    <w:name w:val="Subtitle"/>
    <w:basedOn w:val="699"/>
    <w:next w:val="699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 w:customStyle="1">
    <w:name w:val="Подзаголовок Знак"/>
    <w:basedOn w:val="709"/>
    <w:link w:val="724"/>
    <w:uiPriority w:val="11"/>
    <w:rPr>
      <w:sz w:val="24"/>
      <w:szCs w:val="24"/>
    </w:rPr>
  </w:style>
  <w:style w:type="paragraph" w:styleId="726">
    <w:name w:val="Quote"/>
    <w:basedOn w:val="699"/>
    <w:next w:val="699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99"/>
    <w:next w:val="699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basedOn w:val="699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basedOn w:val="709"/>
    <w:link w:val="730"/>
    <w:uiPriority w:val="99"/>
  </w:style>
  <w:style w:type="paragraph" w:styleId="732">
    <w:name w:val="Footer"/>
    <w:basedOn w:val="699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Нижний колонтитул Знак"/>
    <w:basedOn w:val="709"/>
    <w:link w:val="732"/>
    <w:uiPriority w:val="99"/>
  </w:style>
  <w:style w:type="paragraph" w:styleId="734">
    <w:name w:val="Caption"/>
    <w:basedOn w:val="699"/>
    <w:next w:val="699"/>
    <w:link w:val="73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35" w:customStyle="1">
    <w:name w:val="Название объекта Знак"/>
    <w:basedOn w:val="709"/>
    <w:link w:val="734"/>
    <w:uiPriority w:val="35"/>
    <w:rPr>
      <w:b/>
      <w:bCs/>
      <w:color w:val="4472c4" w:themeColor="accent1"/>
      <w:sz w:val="18"/>
      <w:szCs w:val="18"/>
    </w:rPr>
  </w:style>
  <w:style w:type="table" w:styleId="736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7">
    <w:name w:val="Plain Table 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2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9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65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6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7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8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9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0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7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9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0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1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2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3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4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0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1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7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8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9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0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1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2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3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2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3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4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5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6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7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9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0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1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2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3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4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5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6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7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8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9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60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1">
    <w:name w:val="Hyperlink"/>
    <w:uiPriority w:val="99"/>
    <w:unhideWhenUsed/>
    <w:rPr>
      <w:color w:val="0563c1" w:themeColor="hyperlink"/>
      <w:u w:val="single"/>
    </w:rPr>
  </w:style>
  <w:style w:type="paragraph" w:styleId="862">
    <w:name w:val="footnote text"/>
    <w:basedOn w:val="699"/>
    <w:link w:val="863"/>
    <w:uiPriority w:val="99"/>
    <w:semiHidden/>
    <w:unhideWhenUsed/>
    <w:pPr>
      <w:spacing w:after="40" w:line="240" w:lineRule="auto"/>
    </w:pPr>
    <w:rPr>
      <w:sz w:val="18"/>
    </w:rPr>
  </w:style>
  <w:style w:type="character" w:styleId="863" w:customStyle="1">
    <w:name w:val="Текст сноски Знак"/>
    <w:link w:val="862"/>
    <w:uiPriority w:val="99"/>
    <w:rPr>
      <w:sz w:val="18"/>
    </w:rPr>
  </w:style>
  <w:style w:type="character" w:styleId="864">
    <w:name w:val="footnote reference"/>
    <w:basedOn w:val="709"/>
    <w:uiPriority w:val="99"/>
    <w:unhideWhenUsed/>
    <w:rPr>
      <w:vertAlign w:val="superscript"/>
    </w:rPr>
  </w:style>
  <w:style w:type="paragraph" w:styleId="865">
    <w:name w:val="endnote text"/>
    <w:basedOn w:val="699"/>
    <w:link w:val="866"/>
    <w:uiPriority w:val="99"/>
    <w:semiHidden/>
    <w:unhideWhenUsed/>
    <w:pPr>
      <w:spacing w:after="0" w:line="240" w:lineRule="auto"/>
    </w:pPr>
    <w:rPr>
      <w:sz w:val="20"/>
    </w:rPr>
  </w:style>
  <w:style w:type="character" w:styleId="866" w:customStyle="1">
    <w:name w:val="Текст концевой сноски Знак"/>
    <w:link w:val="865"/>
    <w:uiPriority w:val="99"/>
    <w:rPr>
      <w:sz w:val="20"/>
    </w:rPr>
  </w:style>
  <w:style w:type="character" w:styleId="867">
    <w:name w:val="endnote reference"/>
    <w:basedOn w:val="709"/>
    <w:uiPriority w:val="99"/>
    <w:semiHidden/>
    <w:unhideWhenUsed/>
    <w:rPr>
      <w:vertAlign w:val="superscript"/>
    </w:rPr>
  </w:style>
  <w:style w:type="paragraph" w:styleId="868">
    <w:name w:val="toc 1"/>
    <w:basedOn w:val="699"/>
    <w:next w:val="699"/>
    <w:uiPriority w:val="39"/>
    <w:unhideWhenUsed/>
    <w:pPr>
      <w:spacing w:after="57"/>
    </w:pPr>
  </w:style>
  <w:style w:type="paragraph" w:styleId="869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70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71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72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3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4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5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6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699"/>
    <w:next w:val="699"/>
    <w:uiPriority w:val="99"/>
    <w:unhideWhenUsed/>
    <w:pPr>
      <w:spacing w:after="0"/>
    </w:pPr>
  </w:style>
  <w:style w:type="table" w:styleId="879">
    <w:name w:val="Table Grid"/>
    <w:basedOn w:val="71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0">
    <w:name w:val="List Paragraph"/>
    <w:basedOn w:val="699"/>
    <w:uiPriority w:val="34"/>
    <w:qFormat/>
    <w:pPr>
      <w:contextualSpacing/>
      <w:ind w:left="720"/>
    </w:pPr>
  </w:style>
  <w:style w:type="paragraph" w:styleId="881">
    <w:name w:val="Normal (Web)"/>
    <w:basedOn w:val="699"/>
    <w:uiPriority w:val="99"/>
    <w:semiHidden/>
    <w:unhideWhenUsed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882">
    <w:name w:val="Strong"/>
    <w:basedOn w:val="709"/>
    <w:uiPriority w:val="22"/>
    <w:qFormat/>
    <w:rPr>
      <w:b/>
      <w:bCs/>
    </w:rPr>
  </w:style>
  <w:style w:type="paragraph" w:styleId="883">
    <w:name w:val="Balloon Text"/>
    <w:basedOn w:val="699"/>
    <w:link w:val="8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basedOn w:val="709"/>
    <w:link w:val="88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Шкутник Софья Дмитриевна</dc:creator>
  <cp:keywords/>
  <dc:description/>
  <cp:lastModifiedBy>pankstyanov_yn</cp:lastModifiedBy>
  <cp:revision>9</cp:revision>
  <dcterms:created xsi:type="dcterms:W3CDTF">2026-09-16T07:20:00Z</dcterms:created>
  <dcterms:modified xsi:type="dcterms:W3CDTF">2026-09-16T09:28:04Z</dcterms:modified>
</cp:coreProperties>
</file>