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jpeg" /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9FB5E" w14:textId="77777777" w:rsidR="003957E6" w:rsidRDefault="008E24E4">
      <w:pPr>
        <w:spacing w:before="2000"/>
        <w:jc w:val="center"/>
        <w:rPr>
          <w:rFonts w:hint="eastAsia"/>
        </w:rPr>
      </w:pPr>
      <w:r>
        <w:rPr>
          <w:b/>
          <w:color w:val="163A5F"/>
          <w:sz w:val="50"/>
        </w:rPr>
        <w:t>ТЕХНИЧЕСКОЕ ЗАДАНИЕ</w:t>
      </w:r>
    </w:p>
    <w:p w14:paraId="0B0D05AA" w14:textId="77777777" w:rsidR="003957E6" w:rsidRDefault="008E24E4">
      <w:pPr>
        <w:jc w:val="center"/>
        <w:rPr>
          <w:rFonts w:hint="eastAsia"/>
        </w:rPr>
      </w:pPr>
      <w:r>
        <w:rPr>
          <w:b/>
          <w:color w:val="1F4E78"/>
          <w:sz w:val="34"/>
        </w:rPr>
        <w:t>Создание информационной системы расчёта</w:t>
      </w:r>
      <w:r>
        <w:rPr>
          <w:b/>
          <w:color w:val="1F4E78"/>
          <w:sz w:val="34"/>
        </w:rPr>
        <w:br/>
        <w:t>экономической эффективности преподавателей</w:t>
      </w:r>
    </w:p>
    <w:p w14:paraId="0D9F0D4C" w14:textId="77777777" w:rsidR="003957E6" w:rsidRDefault="008E24E4">
      <w:pPr>
        <w:spacing w:before="400"/>
        <w:jc w:val="center"/>
        <w:rPr>
          <w:rFonts w:hint="eastAsia"/>
        </w:rPr>
      </w:pPr>
      <w:r>
        <w:rPr>
          <w:i/>
          <w:sz w:val="26"/>
        </w:rPr>
        <w:t>Тендерная документация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080"/>
      </w:tblGrid>
      <w:tr w:rsidR="003957E6" w14:paraId="59699A01" w14:textId="77777777">
        <w:trPr>
          <w:cantSplit/>
          <w:jc w:val="center"/>
        </w:trPr>
        <w:tc>
          <w:tcPr>
            <w:tcW w:w="10080" w:type="dxa"/>
            <w:shd w:val="clear" w:color="auto" w:fill="EAF2F8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29CDDB7A" w14:textId="77777777" w:rsidR="003957E6" w:rsidRDefault="008E24E4">
            <w:pPr>
              <w:rPr>
                <w:rFonts w:hint="eastAsia"/>
              </w:rPr>
            </w:pPr>
            <w:r>
              <w:rPr>
                <w:b/>
                <w:color w:val="1F4E78"/>
              </w:rPr>
              <w:t xml:space="preserve">Назначение документа. </w:t>
            </w:r>
            <w:r>
              <w:t>Настоящее ТЗ описывает требуемый результат и обязательные функциональные/интеграционные требования, но не фиксирует единственный способ реализации. Участник тендера вправе предложить архитектуру на базе 1С, отдельного прикладного решения, существующих корпоративных систем либо комбинированный вариант.</w:t>
            </w:r>
          </w:p>
        </w:tc>
      </w:tr>
    </w:tbl>
    <w:p w14:paraId="43460B87" w14:textId="77777777" w:rsidR="003957E6" w:rsidRDefault="003957E6">
      <w:pPr>
        <w:spacing w:after="20"/>
        <w:rPr>
          <w:rFonts w:hint="eastAsia"/>
        </w:rPr>
      </w:pPr>
    </w:p>
    <w:p w14:paraId="71351AD9" w14:textId="77777777" w:rsidR="003957E6" w:rsidRDefault="008E24E4">
      <w:pPr>
        <w:spacing w:before="1200"/>
        <w:jc w:val="center"/>
        <w:rPr>
          <w:rFonts w:hint="eastAsia"/>
        </w:rPr>
      </w:pPr>
      <w:r>
        <w:rPr>
          <w:b/>
        </w:rPr>
        <w:t>Версия для проведения тендера</w:t>
      </w:r>
    </w:p>
    <w:p w14:paraId="1D53EAC0" w14:textId="77777777" w:rsidR="003957E6" w:rsidRDefault="008E24E4">
      <w:pPr>
        <w:jc w:val="center"/>
        <w:rPr>
          <w:rFonts w:hint="eastAsia"/>
        </w:rPr>
      </w:pPr>
      <w:r>
        <w:t>2026</w:t>
      </w:r>
    </w:p>
    <w:p w14:paraId="37617B3A" w14:textId="77777777" w:rsidR="003957E6" w:rsidRDefault="008E24E4">
      <w:pPr>
        <w:rPr>
          <w:rFonts w:hint="eastAsia"/>
        </w:rPr>
      </w:pPr>
      <w:r>
        <w:br w:type="page"/>
      </w:r>
    </w:p>
    <w:p w14:paraId="31C131BE" w14:textId="77777777" w:rsidR="003957E6" w:rsidRDefault="008E24E4">
      <w:pPr>
        <w:pStyle w:val="1"/>
      </w:pPr>
      <w:r>
        <w:lastRenderedPageBreak/>
        <w:t>1. Общие сведения и цель проекта</w:t>
      </w:r>
    </w:p>
    <w:p w14:paraId="5B9E1F69" w14:textId="77777777" w:rsidR="003957E6" w:rsidRDefault="008E24E4">
      <w:pPr>
        <w:rPr>
          <w:rFonts w:hint="eastAsia"/>
        </w:rPr>
      </w:pPr>
      <w:r>
        <w:t>Заказчику требуется автоматизировать расчёт экономической эффективности преподавателей: сопоставлять расчётный вклад преподавателя в выручку от образовательных контрактов с затратами на его оплату труда за сопоставимый период. Результат должен использоваться руководством для анализа нагрузки, ставок, структуры штата, классов, предметов и филиалов.</w:t>
      </w:r>
    </w:p>
    <w:p w14:paraId="5C27F3BB" w14:textId="77777777" w:rsidR="003957E6" w:rsidRDefault="008E24E4">
      <w:pPr>
        <w:rPr>
          <w:rFonts w:hint="eastAsia"/>
        </w:rPr>
      </w:pPr>
      <w:r>
        <w:t>Система должна исключить регулярный ручной пересчёт в Excel и обеспечить воспроизводимость расчёта, прозрачность исходных данных и возможность проверить происхождение каждой итоговой суммы.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080"/>
      </w:tblGrid>
      <w:tr w:rsidR="003957E6" w14:paraId="3485A1B3" w14:textId="77777777">
        <w:trPr>
          <w:cantSplit/>
          <w:jc w:val="center"/>
        </w:trPr>
        <w:tc>
          <w:tcPr>
            <w:tcW w:w="10080" w:type="dxa"/>
            <w:shd w:val="clear" w:color="auto" w:fill="EAF2F8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03BE3F0E" w14:textId="77777777" w:rsidR="003957E6" w:rsidRDefault="008E24E4">
            <w:pPr>
              <w:rPr>
                <w:rFonts w:hint="eastAsia"/>
              </w:rPr>
            </w:pPr>
            <w:r>
              <w:rPr>
                <w:b/>
                <w:color w:val="1F4E78"/>
              </w:rPr>
              <w:t xml:space="preserve">Принцип тендера. </w:t>
            </w:r>
            <w:r>
              <w:t>Заказчик ожидает от участника не только оценку разработки, но и архитектурное предложение. Допускается создание отдельной специализированной информационной базы/конфигурации на платформе 1С:Предприятие, расширение существующего 1С-ландшафта, отдельное web-приложение с собственной БД, реализация части функций в Bitrix24 или иная архитектура, если она выполняет требования настоящего ТЗ.</w:t>
            </w:r>
          </w:p>
        </w:tc>
      </w:tr>
    </w:tbl>
    <w:p w14:paraId="059930EA" w14:textId="77777777" w:rsidR="003957E6" w:rsidRDefault="003957E6">
      <w:pPr>
        <w:spacing w:after="20"/>
        <w:rPr>
          <w:rFonts w:hint="eastAsia"/>
        </w:rPr>
      </w:pPr>
    </w:p>
    <w:p w14:paraId="60F62F29" w14:textId="77777777" w:rsidR="003957E6" w:rsidRDefault="008E24E4">
      <w:pPr>
        <w:pStyle w:val="1"/>
      </w:pPr>
      <w:r>
        <w:t>2. Существующий ИТ-ландшафт</w:t>
      </w:r>
    </w:p>
    <w:p w14:paraId="5F7C33E6" w14:textId="77777777" w:rsidR="003957E6" w:rsidRDefault="008E24E4">
      <w:pPr>
        <w:rPr>
          <w:rFonts w:hint="eastAsia"/>
        </w:rPr>
      </w:pPr>
      <w:r>
        <w:t>Инфраструктура 1С заказчика: собственный сервер 1С с клиент-серверной структурой информационных баз; лицензия 1С КОРП; имеется шаблон конфигурации 1С БП. Участник вправе использовать эту инфраструктуру при предложении варианта реализации на платформе 1С, указав необходимые дополнительные лицензии и ресурсы, если они требуются.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2160"/>
        <w:gridCol w:w="3600"/>
        <w:gridCol w:w="4464"/>
      </w:tblGrid>
      <w:tr w:rsidR="003957E6" w14:paraId="03C10D73" w14:textId="77777777">
        <w:trPr>
          <w:cantSplit/>
          <w:tblHeader/>
          <w:jc w:val="center"/>
        </w:trPr>
        <w:tc>
          <w:tcPr>
            <w:tcW w:w="2160" w:type="dxa"/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ADFEFFF" w14:textId="77777777" w:rsidR="003957E6" w:rsidRDefault="008E24E4">
            <w:pPr>
              <w:rPr>
                <w:rFonts w:hint="eastAsia"/>
              </w:rPr>
            </w:pPr>
            <w:r>
              <w:rPr>
                <w:b/>
                <w:color w:val="FFFFFF"/>
                <w:sz w:val="19"/>
              </w:rPr>
              <w:t>Система</w:t>
            </w:r>
          </w:p>
        </w:tc>
        <w:tc>
          <w:tcPr>
            <w:tcW w:w="3600" w:type="dxa"/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C06E3A0" w14:textId="77777777" w:rsidR="003957E6" w:rsidRDefault="008E24E4">
            <w:pPr>
              <w:rPr>
                <w:rFonts w:hint="eastAsia"/>
              </w:rPr>
            </w:pPr>
            <w:r>
              <w:rPr>
                <w:b/>
                <w:color w:val="FFFFFF"/>
                <w:sz w:val="19"/>
              </w:rPr>
              <w:t>Текущее назначение</w:t>
            </w:r>
          </w:p>
        </w:tc>
        <w:tc>
          <w:tcPr>
            <w:tcW w:w="4464" w:type="dxa"/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F5750BB" w14:textId="77777777" w:rsidR="003957E6" w:rsidRDefault="008E24E4">
            <w:pPr>
              <w:rPr>
                <w:rFonts w:hint="eastAsia"/>
              </w:rPr>
            </w:pPr>
            <w:r>
              <w:rPr>
                <w:b/>
                <w:color w:val="FFFFFF"/>
                <w:sz w:val="19"/>
              </w:rPr>
              <w:t>Роль в проекте</w:t>
            </w:r>
          </w:p>
        </w:tc>
      </w:tr>
      <w:tr w:rsidR="003957E6" w14:paraId="012A2FAD" w14:textId="77777777">
        <w:trPr>
          <w:cantSplit/>
          <w:jc w:val="center"/>
        </w:trPr>
        <w:tc>
          <w:tcPr>
            <w:tcW w:w="21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02D9D77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1С:ЗУП — 2 информационные базы</w:t>
            </w:r>
          </w:p>
        </w:tc>
        <w:tc>
          <w:tcPr>
            <w:tcW w:w="36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0FEA9E9" w14:textId="77777777" w:rsidR="003957E6" w:rsidRDefault="008E24E4">
            <w:pPr>
              <w:rPr>
                <w:rFonts w:hint="eastAsia"/>
              </w:rPr>
            </w:pPr>
            <w:r>
              <w:t>Кадровые данные и расчёт заработной платы двух юридических лиц. Используется собственный 1С-сервер с клиент-серверной структурой баз данных.</w:t>
            </w:r>
          </w:p>
        </w:tc>
        <w:tc>
          <w:tcPr>
            <w:tcW w:w="446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4C914A8" w14:textId="77777777" w:rsidR="003957E6" w:rsidRDefault="008E24E4">
            <w:pPr>
              <w:rPr>
                <w:rFonts w:hint="eastAsia"/>
              </w:rPr>
            </w:pPr>
            <w:r>
              <w:t>Источник сведений о сотрудниках и суммах оплаты труда/начислений за расчётный период. У заказчика имеется лицензия 1С КОРП и шаблон конфигурации 1С БП.</w:t>
            </w:r>
          </w:p>
        </w:tc>
      </w:tr>
      <w:tr w:rsidR="003957E6" w14:paraId="67019106" w14:textId="77777777">
        <w:trPr>
          <w:cantSplit/>
          <w:jc w:val="center"/>
        </w:trPr>
        <w:tc>
          <w:tcPr>
            <w:tcW w:w="21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A73ADA1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EduPage — 5 независимых аккаунтов</w:t>
            </w:r>
          </w:p>
        </w:tc>
        <w:tc>
          <w:tcPr>
            <w:tcW w:w="36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2D8D2A7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Расписание занятий, преподаватели, классы, предметы и учебные группы пяти филиалов</w:t>
            </w:r>
          </w:p>
        </w:tc>
        <w:tc>
          <w:tcPr>
            <w:tcW w:w="446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3163BD0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Источник данных об учебной нагрузке и составе расписания; при наличии — источник состава групп/выбора предметов</w:t>
            </w:r>
          </w:p>
        </w:tc>
      </w:tr>
      <w:tr w:rsidR="003957E6" w14:paraId="1ABB26BF" w14:textId="77777777">
        <w:trPr>
          <w:cantSplit/>
          <w:jc w:val="center"/>
        </w:trPr>
        <w:tc>
          <w:tcPr>
            <w:tcW w:w="21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22573B0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Bitrix24, коробочная версия</w:t>
            </w:r>
          </w:p>
        </w:tc>
        <w:tc>
          <w:tcPr>
            <w:tcW w:w="36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1D3FEFB" w14:textId="77777777" w:rsidR="003957E6" w:rsidRDefault="008E24E4">
            <w:pPr>
              <w:rPr>
                <w:rFonts w:hint="eastAsia"/>
              </w:rPr>
            </w:pPr>
            <w:r>
              <w:t>Корпоративная CRM и система учёта коммерческих контрактов учеников</w:t>
            </w:r>
          </w:p>
        </w:tc>
        <w:tc>
          <w:tcPr>
            <w:tcW w:w="446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CE9A712" w14:textId="77777777" w:rsidR="003957E6" w:rsidRDefault="008E24E4">
            <w:pPr>
              <w:rPr>
                <w:rFonts w:hint="eastAsia"/>
              </w:rPr>
            </w:pPr>
            <w:r>
              <w:t>Источник данных о контрактах учеников и их стоимости; дополнительно может использоваться как интерфейс, точка доступа, средство уведомлений/согласований — по предложению участника</w:t>
            </w:r>
          </w:p>
        </w:tc>
      </w:tr>
    </w:tbl>
    <w:p w14:paraId="18CA32A0" w14:textId="77777777" w:rsidR="003957E6" w:rsidRDefault="003957E6">
      <w:pPr>
        <w:spacing w:after="20"/>
        <w:rPr>
          <w:rFonts w:hint="eastAsia"/>
        </w:rPr>
      </w:pPr>
    </w:p>
    <w:p w14:paraId="2004D14F" w14:textId="77777777" w:rsidR="003957E6" w:rsidRDefault="008E24E4">
      <w:pPr>
        <w:rPr>
          <w:rFonts w:hint="eastAsia"/>
        </w:rPr>
      </w:pPr>
      <w:r>
        <w:t>Системы-источники остаются владельцами первичных данных. Предлагаемое решение не должно требовать двойного ручного ведения кадровых, зарплатных, расписных или контрактных данных.</w:t>
      </w:r>
    </w:p>
    <w:p w14:paraId="73DE8B7A" w14:textId="77777777" w:rsidR="003957E6" w:rsidRDefault="008E24E4">
      <w:pPr>
        <w:pStyle w:val="1"/>
      </w:pPr>
      <w:r>
        <w:t>3. Термины и расчётная модель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7344"/>
      </w:tblGrid>
      <w:tr w:rsidR="003957E6" w14:paraId="3A837E4D" w14:textId="77777777">
        <w:trPr>
          <w:cantSplit/>
          <w:tblHeader/>
          <w:jc w:val="center"/>
        </w:trPr>
        <w:tc>
          <w:tcPr>
            <w:tcW w:w="2880" w:type="dxa"/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B99C7F9" w14:textId="77777777" w:rsidR="003957E6" w:rsidRDefault="008E24E4">
            <w:pPr>
              <w:rPr>
                <w:rFonts w:hint="eastAsia"/>
              </w:rPr>
            </w:pPr>
            <w:r>
              <w:rPr>
                <w:b/>
                <w:color w:val="FFFFFF"/>
                <w:sz w:val="19"/>
              </w:rPr>
              <w:t>Термин</w:t>
            </w:r>
          </w:p>
        </w:tc>
        <w:tc>
          <w:tcPr>
            <w:tcW w:w="7344" w:type="dxa"/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59970A7" w14:textId="77777777" w:rsidR="003957E6" w:rsidRDefault="008E24E4">
            <w:pPr>
              <w:rPr>
                <w:rFonts w:hint="eastAsia"/>
              </w:rPr>
            </w:pPr>
            <w:r>
              <w:rPr>
                <w:b/>
                <w:color w:val="FFFFFF"/>
                <w:sz w:val="19"/>
              </w:rPr>
              <w:t>Определение</w:t>
            </w:r>
          </w:p>
        </w:tc>
      </w:tr>
      <w:tr w:rsidR="003957E6" w14:paraId="555A7CDE" w14:textId="77777777">
        <w:trPr>
          <w:cantSplit/>
          <w:jc w:val="center"/>
        </w:trPr>
        <w:tc>
          <w:tcPr>
            <w:tcW w:w="288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1911C53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lastRenderedPageBreak/>
              <w:t>Преподаваемая связка</w:t>
            </w:r>
          </w:p>
        </w:tc>
        <w:tc>
          <w:tcPr>
            <w:tcW w:w="734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6F87984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Комбинация «Преподаватель – Предмет – Класс/учебная группа» за определённый период действия расписания.</w:t>
            </w:r>
          </w:p>
        </w:tc>
      </w:tr>
      <w:tr w:rsidR="003957E6" w14:paraId="1EED5F69" w14:textId="77777777">
        <w:trPr>
          <w:cantSplit/>
          <w:jc w:val="center"/>
        </w:trPr>
        <w:tc>
          <w:tcPr>
            <w:tcW w:w="288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B75282B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Контракт ученика</w:t>
            </w:r>
          </w:p>
        </w:tc>
        <w:tc>
          <w:tcPr>
            <w:tcW w:w="734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892B318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Коммерческий договор с семьёй/заказчиком обучения, имеющий стоимость за расчётный период.</w:t>
            </w:r>
          </w:p>
        </w:tc>
      </w:tr>
      <w:tr w:rsidR="003957E6" w14:paraId="5D9BFCA0" w14:textId="77777777">
        <w:trPr>
          <w:cantSplit/>
          <w:jc w:val="center"/>
        </w:trPr>
        <w:tc>
          <w:tcPr>
            <w:tcW w:w="288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37201C2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Общая нагрузка класса</w:t>
            </w:r>
          </w:p>
        </w:tc>
        <w:tc>
          <w:tcPr>
            <w:tcW w:w="734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7BA3550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Суммарное количество учитываемых учебных занятий класса в неделю по всем предметам.</w:t>
            </w:r>
          </w:p>
        </w:tc>
      </w:tr>
      <w:tr w:rsidR="003957E6" w14:paraId="73C9214D" w14:textId="77777777">
        <w:trPr>
          <w:cantSplit/>
          <w:jc w:val="center"/>
        </w:trPr>
        <w:tc>
          <w:tcPr>
            <w:tcW w:w="288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43779AA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Вклад преподавателя (Teacher Value)</w:t>
            </w:r>
          </w:p>
        </w:tc>
        <w:tc>
          <w:tcPr>
            <w:tcW w:w="734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F434C0C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Расчётная часть стоимости контрактов учеников, относимая на конкретного преподавателя через долю его предмета в общей учебной нагрузке.</w:t>
            </w:r>
          </w:p>
        </w:tc>
      </w:tr>
      <w:tr w:rsidR="003957E6" w14:paraId="2101B574" w14:textId="77777777">
        <w:trPr>
          <w:cantSplit/>
          <w:jc w:val="center"/>
        </w:trPr>
        <w:tc>
          <w:tcPr>
            <w:tcW w:w="288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60F88FA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Расчётный период</w:t>
            </w:r>
          </w:p>
        </w:tc>
        <w:tc>
          <w:tcPr>
            <w:tcW w:w="734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D0697FE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Период, за который сопоставляются стоимость контрактов, фактическая/плановая учебная нагрузка и оплата труда.</w:t>
            </w:r>
          </w:p>
        </w:tc>
      </w:tr>
      <w:tr w:rsidR="003957E6" w14:paraId="7ECE42C9" w14:textId="77777777">
        <w:trPr>
          <w:cantSplit/>
          <w:jc w:val="center"/>
        </w:trPr>
        <w:tc>
          <w:tcPr>
            <w:tcW w:w="288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99AF63C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Версия расчёта</w:t>
            </w:r>
          </w:p>
        </w:tc>
        <w:tc>
          <w:tcPr>
            <w:tcW w:w="734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8E5467F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Зафиксированный набор исходных данных, правил и результатов, позволяющий воспроизвести ранее сформированный отчёт.</w:t>
            </w:r>
          </w:p>
        </w:tc>
      </w:tr>
    </w:tbl>
    <w:p w14:paraId="49E51241" w14:textId="77777777" w:rsidR="003957E6" w:rsidRDefault="003957E6">
      <w:pPr>
        <w:spacing w:after="20"/>
        <w:rPr>
          <w:rFonts w:hint="eastAsia"/>
        </w:rPr>
      </w:pPr>
    </w:p>
    <w:p w14:paraId="73FA1D67" w14:textId="77777777" w:rsidR="003957E6" w:rsidRDefault="008E24E4">
      <w:pPr>
        <w:pStyle w:val="21"/>
      </w:pPr>
      <w:r>
        <w:t>3.1. Базовая формула</w:t>
      </w:r>
    </w:p>
    <w:p w14:paraId="5D46F7CB" w14:textId="77777777" w:rsidR="003957E6" w:rsidRDefault="008E24E4">
      <w:pPr>
        <w:rPr>
          <w:rFonts w:hint="eastAsia"/>
        </w:rPr>
      </w:pPr>
      <w:r>
        <w:t>Вклад по связке = Сумма контрактов × (Количество уроков предмета в неделю / Общая нагрузка класса в неделю).</w:t>
      </w:r>
    </w:p>
    <w:p w14:paraId="069D1EDC" w14:textId="77777777" w:rsidR="003957E6" w:rsidRDefault="008E24E4">
      <w:pPr>
        <w:rPr>
          <w:rFonts w:hint="eastAsia"/>
        </w:rPr>
      </w:pPr>
      <w:r>
        <w:t>Итоговый вклад преподавателя = сумма вкладов по всем его связкам «Предмет – Класс/группа».</w:t>
      </w:r>
    </w:p>
    <w:p w14:paraId="54B597EA" w14:textId="77777777" w:rsidR="003957E6" w:rsidRDefault="008E24E4">
      <w:pPr>
        <w:rPr>
          <w:rFonts w:hint="eastAsia"/>
        </w:rPr>
      </w:pPr>
      <w:r>
        <w:t>Экономический результат = Итоговый вклад преподавателя − Заработная плата преподавателя за сопоставимый период.</w:t>
      </w:r>
    </w:p>
    <w:p w14:paraId="5591DC79" w14:textId="77777777" w:rsidR="003957E6" w:rsidRDefault="008E24E4">
      <w:pPr>
        <w:rPr>
          <w:rFonts w:hint="eastAsia"/>
        </w:rPr>
      </w:pPr>
      <w:r>
        <w:t>Дополнительно система должна рассчитывать относительный показатель: Коэффициент эффективности = Итоговый вклад преподавателя / Заработная плата преподавателя, при ненулевой заработной плате.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080"/>
      </w:tblGrid>
      <w:tr w:rsidR="003957E6" w14:paraId="1552043C" w14:textId="77777777">
        <w:trPr>
          <w:cantSplit/>
          <w:jc w:val="center"/>
        </w:trPr>
        <w:tc>
          <w:tcPr>
            <w:tcW w:w="10080" w:type="dxa"/>
            <w:shd w:val="clear" w:color="auto" w:fill="EAF2F8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57C40072" w14:textId="77777777" w:rsidR="003957E6" w:rsidRDefault="008E24E4">
            <w:pPr>
              <w:rPr>
                <w:rFonts w:hint="eastAsia"/>
              </w:rPr>
            </w:pPr>
            <w:r>
              <w:rPr>
                <w:b/>
                <w:color w:val="1F4E78"/>
              </w:rPr>
              <w:t xml:space="preserve">Важно. </w:t>
            </w:r>
            <w:r>
              <w:t>Окончательные правила приведения годовой/семестровой стоимости контрактов к расчётному периоду, учёта неполного месяца, замещений, изменения расписания и состава групп должны быть формализованы на этапе обследования и реализованы как настраиваемые правила, а не как неявные допущения в коде.</w:t>
            </w:r>
          </w:p>
        </w:tc>
      </w:tr>
    </w:tbl>
    <w:p w14:paraId="06793E14" w14:textId="77777777" w:rsidR="003957E6" w:rsidRDefault="003957E6">
      <w:pPr>
        <w:spacing w:after="20"/>
        <w:rPr>
          <w:rFonts w:hint="eastAsia"/>
        </w:rPr>
      </w:pPr>
    </w:p>
    <w:p w14:paraId="744F354B" w14:textId="77777777" w:rsidR="003957E6" w:rsidRDefault="008E24E4">
      <w:pPr>
        <w:pStyle w:val="1"/>
      </w:pPr>
      <w:r>
        <w:t>4. Требуемые исходные данные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2232"/>
        <w:gridCol w:w="5184"/>
        <w:gridCol w:w="2808"/>
      </w:tblGrid>
      <w:tr w:rsidR="003957E6" w14:paraId="0AAF60D8" w14:textId="77777777">
        <w:trPr>
          <w:cantSplit/>
          <w:tblHeader/>
          <w:jc w:val="center"/>
        </w:trPr>
        <w:tc>
          <w:tcPr>
            <w:tcW w:w="2232" w:type="dxa"/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DBC68A6" w14:textId="77777777" w:rsidR="003957E6" w:rsidRDefault="008E24E4">
            <w:pPr>
              <w:rPr>
                <w:rFonts w:hint="eastAsia"/>
              </w:rPr>
            </w:pPr>
            <w:r>
              <w:rPr>
                <w:b/>
                <w:color w:val="FFFFFF"/>
                <w:sz w:val="19"/>
              </w:rPr>
              <w:t>Набор данных</w:t>
            </w:r>
          </w:p>
        </w:tc>
        <w:tc>
          <w:tcPr>
            <w:tcW w:w="5184" w:type="dxa"/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0075915" w14:textId="77777777" w:rsidR="003957E6" w:rsidRDefault="008E24E4">
            <w:pPr>
              <w:rPr>
                <w:rFonts w:hint="eastAsia"/>
              </w:rPr>
            </w:pPr>
            <w:r>
              <w:rPr>
                <w:b/>
                <w:color w:val="FFFFFF"/>
                <w:sz w:val="19"/>
              </w:rPr>
              <w:t>Минимальные поля</w:t>
            </w:r>
          </w:p>
        </w:tc>
        <w:tc>
          <w:tcPr>
            <w:tcW w:w="2808" w:type="dxa"/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4F15DFD" w14:textId="77777777" w:rsidR="003957E6" w:rsidRDefault="008E24E4">
            <w:pPr>
              <w:rPr>
                <w:rFonts w:hint="eastAsia"/>
              </w:rPr>
            </w:pPr>
            <w:r>
              <w:rPr>
                <w:b/>
                <w:color w:val="FFFFFF"/>
                <w:sz w:val="19"/>
              </w:rPr>
              <w:t>Предпочтительный источник</w:t>
            </w:r>
          </w:p>
        </w:tc>
      </w:tr>
      <w:tr w:rsidR="003957E6" w14:paraId="471A7937" w14:textId="77777777">
        <w:trPr>
          <w:cantSplit/>
          <w:jc w:val="center"/>
        </w:trPr>
        <w:tc>
          <w:tcPr>
            <w:tcW w:w="223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522FF36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Преподаватели</w:t>
            </w:r>
          </w:p>
        </w:tc>
        <w:tc>
          <w:tcPr>
            <w:tcW w:w="518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AA56BB2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Уникальный идентификатор, ФИО/отображаемое имя, филиал, юрлицо, статус</w:t>
            </w:r>
          </w:p>
        </w:tc>
        <w:tc>
          <w:tcPr>
            <w:tcW w:w="280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7216488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1С:ЗУП / EduPage с последующим сопоставлением идентификаторов</w:t>
            </w:r>
          </w:p>
        </w:tc>
      </w:tr>
      <w:tr w:rsidR="003957E6" w14:paraId="2F4E43A6" w14:textId="77777777">
        <w:trPr>
          <w:cantSplit/>
          <w:jc w:val="center"/>
        </w:trPr>
        <w:tc>
          <w:tcPr>
            <w:tcW w:w="223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DA91B94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Расписание/нагрузка</w:t>
            </w:r>
          </w:p>
        </w:tc>
        <w:tc>
          <w:tcPr>
            <w:tcW w:w="518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B93EC7C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Преподаватель, класс, группа, предмет, длительность, количество занятий, период/неделя</w:t>
            </w:r>
          </w:p>
        </w:tc>
        <w:tc>
          <w:tcPr>
            <w:tcW w:w="280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4E42438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EduPage</w:t>
            </w:r>
          </w:p>
        </w:tc>
      </w:tr>
      <w:tr w:rsidR="003957E6" w14:paraId="01D31A7D" w14:textId="77777777">
        <w:trPr>
          <w:cantSplit/>
          <w:jc w:val="center"/>
        </w:trPr>
        <w:tc>
          <w:tcPr>
            <w:tcW w:w="223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885FFD5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Классы и группы</w:t>
            </w:r>
          </w:p>
        </w:tc>
        <w:tc>
          <w:tcPr>
            <w:tcW w:w="518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7B487FC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Идентификатор, название, филиал, состав или численность, период действия</w:t>
            </w:r>
          </w:p>
        </w:tc>
        <w:tc>
          <w:tcPr>
            <w:tcW w:w="280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3D1C72E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EduPage</w:t>
            </w:r>
          </w:p>
        </w:tc>
      </w:tr>
      <w:tr w:rsidR="003957E6" w14:paraId="14076F81" w14:textId="77777777">
        <w:trPr>
          <w:cantSplit/>
          <w:jc w:val="center"/>
        </w:trPr>
        <w:tc>
          <w:tcPr>
            <w:tcW w:w="223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AABDAAB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lastRenderedPageBreak/>
              <w:t>Предметы</w:t>
            </w:r>
          </w:p>
        </w:tc>
        <w:tc>
          <w:tcPr>
            <w:tcW w:w="518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DF0A0DF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Идентификатор, название/код</w:t>
            </w:r>
          </w:p>
        </w:tc>
        <w:tc>
          <w:tcPr>
            <w:tcW w:w="280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358782F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EduPage</w:t>
            </w:r>
          </w:p>
        </w:tc>
      </w:tr>
      <w:tr w:rsidR="003957E6" w14:paraId="5D7CD8AF" w14:textId="77777777">
        <w:trPr>
          <w:cantSplit/>
          <w:jc w:val="center"/>
        </w:trPr>
        <w:tc>
          <w:tcPr>
            <w:tcW w:w="223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C4D65D3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Ученики и выбор предметов</w:t>
            </w:r>
          </w:p>
        </w:tc>
        <w:tc>
          <w:tcPr>
            <w:tcW w:w="518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048582C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Ученик, класс, учебная группа/электив, период действия</w:t>
            </w:r>
          </w:p>
        </w:tc>
        <w:tc>
          <w:tcPr>
            <w:tcW w:w="280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26B67E0" w14:textId="77777777" w:rsidR="003957E6" w:rsidRDefault="008E24E4">
            <w:pPr>
              <w:rPr>
                <w:rFonts w:hint="eastAsia"/>
              </w:rPr>
            </w:pPr>
            <w:r>
              <w:t>EduPage; идентификаторы учеников должны быть сопоставлены с данными контрактов в Bitrix24</w:t>
            </w:r>
          </w:p>
        </w:tc>
      </w:tr>
      <w:tr w:rsidR="003957E6" w14:paraId="128B15C8" w14:textId="77777777">
        <w:trPr>
          <w:cantSplit/>
          <w:jc w:val="center"/>
        </w:trPr>
        <w:tc>
          <w:tcPr>
            <w:tcW w:w="223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991A963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Контракты</w:t>
            </w:r>
          </w:p>
        </w:tc>
        <w:tc>
          <w:tcPr>
            <w:tcW w:w="518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41BFF74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Ученик, идентификатор договора, период, стоимость, валюта/статус при необходимости</w:t>
            </w:r>
          </w:p>
        </w:tc>
        <w:tc>
          <w:tcPr>
            <w:tcW w:w="280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123B95E" w14:textId="77777777" w:rsidR="003957E6" w:rsidRDefault="008E24E4">
            <w:pPr>
              <w:rPr>
                <w:rFonts w:hint="eastAsia"/>
              </w:rPr>
            </w:pPr>
            <w:r>
              <w:t>CRM Bitrix24</w:t>
            </w:r>
          </w:p>
        </w:tc>
      </w:tr>
      <w:tr w:rsidR="003957E6" w14:paraId="54648457" w14:textId="77777777">
        <w:trPr>
          <w:cantSplit/>
          <w:jc w:val="center"/>
        </w:trPr>
        <w:tc>
          <w:tcPr>
            <w:tcW w:w="223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CCF49D5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Оплата труда</w:t>
            </w:r>
          </w:p>
        </w:tc>
        <w:tc>
          <w:tcPr>
            <w:tcW w:w="518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75068B7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Сотрудник, юрлицо, период, сумма, при необходимости состав показателя</w:t>
            </w:r>
          </w:p>
        </w:tc>
        <w:tc>
          <w:tcPr>
            <w:tcW w:w="280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2CE0362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1С:ЗУП (две базы)</w:t>
            </w:r>
          </w:p>
        </w:tc>
      </w:tr>
    </w:tbl>
    <w:p w14:paraId="2F35F139" w14:textId="77777777" w:rsidR="003957E6" w:rsidRDefault="003957E6">
      <w:pPr>
        <w:spacing w:after="20"/>
        <w:rPr>
          <w:rFonts w:hint="eastAsia"/>
        </w:rPr>
      </w:pPr>
    </w:p>
    <w:p w14:paraId="4373D599" w14:textId="77777777" w:rsidR="003957E6" w:rsidRDefault="008E24E4">
      <w:pPr>
        <w:pStyle w:val="21"/>
      </w:pPr>
      <w:r>
        <w:t>4.1. Пример структуры выгрузки EduPage</w:t>
      </w:r>
    </w:p>
    <w:p w14:paraId="4DD629C5" w14:textId="77777777" w:rsidR="003957E6" w:rsidRDefault="008E24E4">
      <w:pPr>
        <w:rPr>
          <w:rFonts w:hint="eastAsia"/>
        </w:rPr>
      </w:pPr>
      <w:r>
        <w:t>В предоставленной заказчиком тестовой выгрузке присутствуют отдельные наборы данных по занятиям, классам, преподавателям, предметам и кабинетам. Для занятий доступны, в частности, поля Teacher, Class, Group, Subject, Length, Count и Week. Ниже приведён обезличенный пример, иллюстрирующий ожидаемую семантику данных; реальные персональные данные в тендерную документацию не включаются.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1728"/>
        <w:gridCol w:w="1152"/>
        <w:gridCol w:w="1800"/>
        <w:gridCol w:w="1584"/>
        <w:gridCol w:w="864"/>
        <w:gridCol w:w="864"/>
        <w:gridCol w:w="1728"/>
      </w:tblGrid>
      <w:tr w:rsidR="003957E6" w14:paraId="6BE978B4" w14:textId="77777777">
        <w:trPr>
          <w:cantSplit/>
          <w:tblHeader/>
          <w:jc w:val="center"/>
        </w:trPr>
        <w:tc>
          <w:tcPr>
            <w:tcW w:w="1728" w:type="dxa"/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C0D4694" w14:textId="77777777" w:rsidR="003957E6" w:rsidRDefault="008E24E4">
            <w:pPr>
              <w:rPr>
                <w:rFonts w:hint="eastAsia"/>
              </w:rPr>
            </w:pPr>
            <w:r>
              <w:rPr>
                <w:b/>
                <w:color w:val="FFFFFF"/>
                <w:sz w:val="19"/>
              </w:rPr>
              <w:t>Teacher</w:t>
            </w:r>
          </w:p>
        </w:tc>
        <w:tc>
          <w:tcPr>
            <w:tcW w:w="1152" w:type="dxa"/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45977B5" w14:textId="77777777" w:rsidR="003957E6" w:rsidRDefault="008E24E4">
            <w:pPr>
              <w:rPr>
                <w:rFonts w:hint="eastAsia"/>
              </w:rPr>
            </w:pPr>
            <w:r>
              <w:rPr>
                <w:b/>
                <w:color w:val="FFFFFF"/>
                <w:sz w:val="19"/>
              </w:rPr>
              <w:t>Class</w:t>
            </w:r>
          </w:p>
        </w:tc>
        <w:tc>
          <w:tcPr>
            <w:tcW w:w="1800" w:type="dxa"/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752095C" w14:textId="77777777" w:rsidR="003957E6" w:rsidRDefault="008E24E4">
            <w:pPr>
              <w:rPr>
                <w:rFonts w:hint="eastAsia"/>
              </w:rPr>
            </w:pPr>
            <w:r>
              <w:rPr>
                <w:b/>
                <w:color w:val="FFFFFF"/>
                <w:sz w:val="19"/>
              </w:rPr>
              <w:t>Group</w:t>
            </w:r>
          </w:p>
        </w:tc>
        <w:tc>
          <w:tcPr>
            <w:tcW w:w="1584" w:type="dxa"/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13DE783" w14:textId="77777777" w:rsidR="003957E6" w:rsidRDefault="008E24E4">
            <w:pPr>
              <w:rPr>
                <w:rFonts w:hint="eastAsia"/>
              </w:rPr>
            </w:pPr>
            <w:r>
              <w:rPr>
                <w:b/>
                <w:color w:val="FFFFFF"/>
                <w:sz w:val="19"/>
              </w:rPr>
              <w:t>Subject</w:t>
            </w:r>
          </w:p>
        </w:tc>
        <w:tc>
          <w:tcPr>
            <w:tcW w:w="864" w:type="dxa"/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EE7654E" w14:textId="77777777" w:rsidR="003957E6" w:rsidRDefault="008E24E4">
            <w:pPr>
              <w:rPr>
                <w:rFonts w:hint="eastAsia"/>
              </w:rPr>
            </w:pPr>
            <w:r>
              <w:rPr>
                <w:b/>
                <w:color w:val="FFFFFF"/>
                <w:sz w:val="19"/>
              </w:rPr>
              <w:t>Length</w:t>
            </w:r>
          </w:p>
        </w:tc>
        <w:tc>
          <w:tcPr>
            <w:tcW w:w="864" w:type="dxa"/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E263D92" w14:textId="77777777" w:rsidR="003957E6" w:rsidRDefault="008E24E4">
            <w:pPr>
              <w:rPr>
                <w:rFonts w:hint="eastAsia"/>
              </w:rPr>
            </w:pPr>
            <w:r>
              <w:rPr>
                <w:b/>
                <w:color w:val="FFFFFF"/>
                <w:sz w:val="19"/>
              </w:rPr>
              <w:t>Count</w:t>
            </w:r>
          </w:p>
        </w:tc>
        <w:tc>
          <w:tcPr>
            <w:tcW w:w="1728" w:type="dxa"/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C14FAE2" w14:textId="77777777" w:rsidR="003957E6" w:rsidRDefault="008E24E4">
            <w:pPr>
              <w:rPr>
                <w:rFonts w:hint="eastAsia"/>
              </w:rPr>
            </w:pPr>
            <w:r>
              <w:rPr>
                <w:b/>
                <w:color w:val="FFFFFF"/>
                <w:sz w:val="19"/>
              </w:rPr>
              <w:t>Week</w:t>
            </w:r>
          </w:p>
        </w:tc>
      </w:tr>
      <w:tr w:rsidR="003957E6" w14:paraId="6106AA65" w14:textId="77777777">
        <w:trPr>
          <w:cantSplit/>
          <w:jc w:val="center"/>
        </w:trPr>
        <w:tc>
          <w:tcPr>
            <w:tcW w:w="172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6C891F7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Piter Pen</w:t>
            </w:r>
          </w:p>
        </w:tc>
        <w:tc>
          <w:tcPr>
            <w:tcW w:w="115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794A53F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Year6</w:t>
            </w:r>
          </w:p>
        </w:tc>
        <w:tc>
          <w:tcPr>
            <w:tcW w:w="18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C9426BE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Entire class</w:t>
            </w:r>
          </w:p>
        </w:tc>
        <w:tc>
          <w:tcPr>
            <w:tcW w:w="158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A9F4475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Math</w:t>
            </w:r>
          </w:p>
        </w:tc>
        <w:tc>
          <w:tcPr>
            <w:tcW w:w="86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B11F288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6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A91FD76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72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DB5583A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All weeks</w:t>
            </w:r>
          </w:p>
        </w:tc>
      </w:tr>
      <w:tr w:rsidR="003957E6" w14:paraId="52D5C07D" w14:textId="77777777">
        <w:trPr>
          <w:cantSplit/>
          <w:jc w:val="center"/>
        </w:trPr>
        <w:tc>
          <w:tcPr>
            <w:tcW w:w="172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7C3D229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Alice Green</w:t>
            </w:r>
          </w:p>
        </w:tc>
        <w:tc>
          <w:tcPr>
            <w:tcW w:w="115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E625733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Year10</w:t>
            </w:r>
          </w:p>
        </w:tc>
        <w:tc>
          <w:tcPr>
            <w:tcW w:w="18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DB7ED02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MathsExt</w:t>
            </w:r>
          </w:p>
        </w:tc>
        <w:tc>
          <w:tcPr>
            <w:tcW w:w="158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40C4962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Math</w:t>
            </w:r>
          </w:p>
        </w:tc>
        <w:tc>
          <w:tcPr>
            <w:tcW w:w="86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667FE68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6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E97B265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72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CA3CBFF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All weeks</w:t>
            </w:r>
          </w:p>
        </w:tc>
      </w:tr>
      <w:tr w:rsidR="003957E6" w14:paraId="14CDEB7F" w14:textId="77777777">
        <w:trPr>
          <w:cantSplit/>
          <w:jc w:val="center"/>
        </w:trPr>
        <w:tc>
          <w:tcPr>
            <w:tcW w:w="172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D4666DB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John Stone</w:t>
            </w:r>
          </w:p>
        </w:tc>
        <w:tc>
          <w:tcPr>
            <w:tcW w:w="115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0E4CB88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Year10</w:t>
            </w:r>
          </w:p>
        </w:tc>
        <w:tc>
          <w:tcPr>
            <w:tcW w:w="18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460F082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MathsCore</w:t>
            </w:r>
          </w:p>
        </w:tc>
        <w:tc>
          <w:tcPr>
            <w:tcW w:w="158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5F7655F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Math</w:t>
            </w:r>
          </w:p>
        </w:tc>
        <w:tc>
          <w:tcPr>
            <w:tcW w:w="86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EF8C58D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6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8BF9C78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72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9E29729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All weeks</w:t>
            </w:r>
          </w:p>
        </w:tc>
      </w:tr>
      <w:tr w:rsidR="003957E6" w14:paraId="379411BF" w14:textId="77777777">
        <w:trPr>
          <w:cantSplit/>
          <w:jc w:val="center"/>
        </w:trPr>
        <w:tc>
          <w:tcPr>
            <w:tcW w:w="172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AD01452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Maria North</w:t>
            </w:r>
          </w:p>
        </w:tc>
        <w:tc>
          <w:tcPr>
            <w:tcW w:w="115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BA85592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Year4B</w:t>
            </w:r>
          </w:p>
        </w:tc>
        <w:tc>
          <w:tcPr>
            <w:tcW w:w="18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3E79C53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Entire class</w:t>
            </w:r>
          </w:p>
        </w:tc>
        <w:tc>
          <w:tcPr>
            <w:tcW w:w="158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76517A2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Science</w:t>
            </w:r>
          </w:p>
        </w:tc>
        <w:tc>
          <w:tcPr>
            <w:tcW w:w="86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C4888E2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6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B7F036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72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C87249B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All weeks</w:t>
            </w:r>
          </w:p>
        </w:tc>
      </w:tr>
    </w:tbl>
    <w:p w14:paraId="46799225" w14:textId="77777777" w:rsidR="003957E6" w:rsidRDefault="003957E6">
      <w:pPr>
        <w:spacing w:after="20"/>
        <w:rPr>
          <w:rFonts w:hint="eastAsia"/>
        </w:rPr>
      </w:pPr>
    </w:p>
    <w:p w14:paraId="40E87367" w14:textId="77777777" w:rsidR="003957E6" w:rsidRDefault="008E24E4">
      <w:pPr>
        <w:rPr>
          <w:rFonts w:hint="eastAsia"/>
        </w:rPr>
      </w:pPr>
      <w:r>
        <w:t>Участник должен предусмотреть устойчивый импорт как через API, так и, при необходимости, через регламентированные файлы обмена/выгрузки. Предпочтительный механизм определяется участником по итогам анализа доступных API и требований к актуальности данных.</w:t>
      </w:r>
    </w:p>
    <w:p w14:paraId="30A007B7" w14:textId="77777777" w:rsidR="003957E6" w:rsidRDefault="008E24E4">
      <w:pPr>
        <w:pStyle w:val="1"/>
      </w:pPr>
      <w:r>
        <w:t>5. Функциональные требования</w:t>
      </w:r>
    </w:p>
    <w:p w14:paraId="0654D465" w14:textId="77777777" w:rsidR="003957E6" w:rsidRDefault="008E24E4">
      <w:pPr>
        <w:pStyle w:val="21"/>
      </w:pPr>
      <w:r>
        <w:t>5.1. Загрузка и синхронизация данных</w:t>
      </w:r>
    </w:p>
    <w:p w14:paraId="7F64E328" w14:textId="77777777" w:rsidR="003957E6" w:rsidRDefault="008E24E4">
      <w:pPr>
        <w:pStyle w:val="a0"/>
        <w:rPr>
          <w:rFonts w:hint="eastAsia"/>
        </w:rPr>
      </w:pPr>
      <w:r>
        <w:t>Автоматически получать данные из двух информационных баз 1С:ЗУП без ручного дублирования сведений о сотрудниках и оплате труда.</w:t>
      </w:r>
    </w:p>
    <w:p w14:paraId="5C6B65C6" w14:textId="77777777" w:rsidR="003957E6" w:rsidRDefault="008E24E4">
      <w:pPr>
        <w:pStyle w:val="a0"/>
        <w:rPr>
          <w:rFonts w:hint="eastAsia"/>
        </w:rPr>
      </w:pPr>
      <w:r>
        <w:t>Получать данные из пяти аккаунтов EduPage с сохранением принадлежности к филиалу.</w:t>
      </w:r>
    </w:p>
    <w:p w14:paraId="1F2C3A84" w14:textId="77777777" w:rsidR="003957E6" w:rsidRDefault="008E24E4">
      <w:pPr>
        <w:pStyle w:val="a0"/>
        <w:rPr>
          <w:rFonts w:hint="eastAsia"/>
        </w:rPr>
      </w:pPr>
      <w:r>
        <w:t>Получать из CRM Bitrix24 данные о контрактах учеников, включая стоимость договора и иные согласованные реквизиты, необходимые для расчёта.</w:t>
      </w:r>
    </w:p>
    <w:p w14:paraId="7ECDAEC5" w14:textId="77777777" w:rsidR="003957E6" w:rsidRDefault="008E24E4">
      <w:pPr>
        <w:pStyle w:val="a0"/>
        <w:rPr>
          <w:rFonts w:hint="eastAsia"/>
        </w:rPr>
      </w:pPr>
      <w:r>
        <w:t>Поддерживать регламентную синхронизацию по расписанию и повторный запуск после ошибки.</w:t>
      </w:r>
    </w:p>
    <w:p w14:paraId="33B6AD15" w14:textId="77777777" w:rsidR="003957E6" w:rsidRDefault="008E24E4">
      <w:pPr>
        <w:pStyle w:val="a0"/>
        <w:rPr>
          <w:rFonts w:hint="eastAsia"/>
        </w:rPr>
      </w:pPr>
      <w:r>
        <w:t>Вести журнал загрузок с количеством полученных/обновлённых/отклонённых записей и текстом ошибки.</w:t>
      </w:r>
    </w:p>
    <w:p w14:paraId="021ADFAA" w14:textId="77777777" w:rsidR="003957E6" w:rsidRDefault="008E24E4">
      <w:pPr>
        <w:pStyle w:val="a0"/>
        <w:rPr>
          <w:rFonts w:hint="eastAsia"/>
        </w:rPr>
      </w:pPr>
      <w:r>
        <w:t>Не допускать повторного создания одной и той же сущности при повторной загрузке.</w:t>
      </w:r>
    </w:p>
    <w:p w14:paraId="5C0338D9" w14:textId="77777777" w:rsidR="003957E6" w:rsidRDefault="008E24E4">
      <w:pPr>
        <w:pStyle w:val="21"/>
      </w:pPr>
      <w:r>
        <w:lastRenderedPageBreak/>
        <w:t>5.2. Сопоставление сущностей между системами</w:t>
      </w:r>
    </w:p>
    <w:p w14:paraId="02A8D09A" w14:textId="77777777" w:rsidR="003957E6" w:rsidRDefault="008E24E4">
      <w:pPr>
        <w:pStyle w:val="a0"/>
        <w:rPr>
          <w:rFonts w:hint="eastAsia"/>
        </w:rPr>
      </w:pPr>
      <w:r>
        <w:t>Иметь собственный устойчивый внутренний идентификатор преподавателя и хранить внешние идентификаторы из 1С, EduPage и Bitrix24.</w:t>
      </w:r>
    </w:p>
    <w:p w14:paraId="2157606A" w14:textId="77777777" w:rsidR="003957E6" w:rsidRDefault="008E24E4">
      <w:pPr>
        <w:pStyle w:val="a0"/>
        <w:rPr>
          <w:rFonts w:hint="eastAsia"/>
        </w:rPr>
      </w:pPr>
      <w:r>
        <w:t>Не использовать ФИО как единственный постоянный ключ сопоставления.</w:t>
      </w:r>
    </w:p>
    <w:p w14:paraId="301A8C64" w14:textId="77777777" w:rsidR="003957E6" w:rsidRDefault="008E24E4">
      <w:pPr>
        <w:pStyle w:val="a0"/>
        <w:rPr>
          <w:rFonts w:hint="eastAsia"/>
        </w:rPr>
      </w:pPr>
      <w:r>
        <w:t>Поддерживать первоначальное автоматическое сопоставление по набору признаков с последующим ручным подтверждением спорных случаев.</w:t>
      </w:r>
    </w:p>
    <w:p w14:paraId="0588A68F" w14:textId="77777777" w:rsidR="003957E6" w:rsidRDefault="008E24E4">
      <w:pPr>
        <w:pStyle w:val="a0"/>
        <w:rPr>
          <w:rFonts w:hint="eastAsia"/>
        </w:rPr>
      </w:pPr>
      <w:r>
        <w:t>Предоставлять интерфейс просмотра и исправления несопоставленных преподавателей, классов, предметов и учеников.</w:t>
      </w:r>
    </w:p>
    <w:p w14:paraId="666A6156" w14:textId="77777777" w:rsidR="003957E6" w:rsidRDefault="008E24E4">
      <w:pPr>
        <w:pStyle w:val="a0"/>
        <w:rPr>
          <w:rFonts w:hint="eastAsia"/>
        </w:rPr>
      </w:pPr>
      <w:r>
        <w:t>Хранить историю произведённых сопоставлений.</w:t>
      </w:r>
    </w:p>
    <w:p w14:paraId="1A251296" w14:textId="77777777" w:rsidR="003957E6" w:rsidRDefault="008E24E4">
      <w:pPr>
        <w:pStyle w:val="21"/>
      </w:pPr>
      <w:r>
        <w:t>5.3. Расчёт</w:t>
      </w:r>
    </w:p>
    <w:p w14:paraId="1B46BF04" w14:textId="77777777" w:rsidR="003957E6" w:rsidRDefault="008E24E4">
      <w:pPr>
        <w:pStyle w:val="a0"/>
        <w:rPr>
          <w:rFonts w:hint="eastAsia"/>
        </w:rPr>
      </w:pPr>
      <w:r>
        <w:t>Формировать связки «Преподаватель – Предмет – Класс/группа» на основании расписания за выбранный период.</w:t>
      </w:r>
    </w:p>
    <w:p w14:paraId="041AAA9D" w14:textId="77777777" w:rsidR="003957E6" w:rsidRDefault="008E24E4">
      <w:pPr>
        <w:pStyle w:val="a0"/>
        <w:rPr>
          <w:rFonts w:hint="eastAsia"/>
        </w:rPr>
      </w:pPr>
      <w:r>
        <w:t>Определять список учеников, относящихся к каждой связке: весь класс для обязательного предмета либо только соответствующую учебную группу/электив.</w:t>
      </w:r>
    </w:p>
    <w:p w14:paraId="0E0FF851" w14:textId="77777777" w:rsidR="003957E6" w:rsidRDefault="008E24E4">
      <w:pPr>
        <w:pStyle w:val="a0"/>
        <w:rPr>
          <w:rFonts w:hint="eastAsia"/>
        </w:rPr>
      </w:pPr>
      <w:r>
        <w:t>Определять сумму контрактов учеников связки.</w:t>
      </w:r>
    </w:p>
    <w:p w14:paraId="15B60682" w14:textId="77777777" w:rsidR="003957E6" w:rsidRDefault="008E24E4">
      <w:pPr>
        <w:pStyle w:val="a0"/>
        <w:rPr>
          <w:rFonts w:hint="eastAsia"/>
        </w:rPr>
      </w:pPr>
      <w:r>
        <w:t>Определять количество уроков предмета и общую нагрузку класса.</w:t>
      </w:r>
    </w:p>
    <w:p w14:paraId="03245CDB" w14:textId="77777777" w:rsidR="003957E6" w:rsidRDefault="008E24E4">
      <w:pPr>
        <w:pStyle w:val="a0"/>
        <w:rPr>
          <w:rFonts w:hint="eastAsia"/>
        </w:rPr>
      </w:pPr>
      <w:r>
        <w:t>Рассчитывать вклад по каждой связке, итоговый вклад преподавателя, экономический результат и коэффициент эффективности.</w:t>
      </w:r>
    </w:p>
    <w:p w14:paraId="250AF6CE" w14:textId="77777777" w:rsidR="003957E6" w:rsidRDefault="008E24E4">
      <w:pPr>
        <w:pStyle w:val="a0"/>
        <w:rPr>
          <w:rFonts w:hint="eastAsia"/>
        </w:rPr>
      </w:pPr>
      <w:r>
        <w:t>Обеспечивать повторный пересчёт периода с созданием новой версии результатов либо фиксацией причины изменения.</w:t>
      </w:r>
    </w:p>
    <w:p w14:paraId="30AB0DFD" w14:textId="77777777" w:rsidR="003957E6" w:rsidRDefault="008E24E4">
      <w:pPr>
        <w:pStyle w:val="a0"/>
        <w:rPr>
          <w:rFonts w:hint="eastAsia"/>
        </w:rPr>
      </w:pPr>
      <w:r>
        <w:t>Сохранять детализацию, позволяющую объяснить каждую итоговую сумму.</w:t>
      </w:r>
    </w:p>
    <w:p w14:paraId="2D446287" w14:textId="77777777" w:rsidR="003957E6" w:rsidRDefault="008E24E4">
      <w:pPr>
        <w:pStyle w:val="21"/>
      </w:pPr>
      <w:r>
        <w:t>5.4. Ручные корректировки и исключения</w:t>
      </w:r>
    </w:p>
    <w:p w14:paraId="338490B0" w14:textId="77777777" w:rsidR="003957E6" w:rsidRDefault="008E24E4">
      <w:pPr>
        <w:pStyle w:val="a0"/>
        <w:rPr>
          <w:rFonts w:hint="eastAsia"/>
        </w:rPr>
      </w:pPr>
      <w:r>
        <w:t>Поддерживать ручную корректировку только уполномоченными пользователями с обязательным указанием причины.</w:t>
      </w:r>
    </w:p>
    <w:p w14:paraId="7FAF79E3" w14:textId="77777777" w:rsidR="003957E6" w:rsidRDefault="008E24E4">
      <w:pPr>
        <w:pStyle w:val="a0"/>
        <w:rPr>
          <w:rFonts w:hint="eastAsia"/>
        </w:rPr>
      </w:pPr>
      <w:r>
        <w:t>Хранить исходное автоматическое значение, скорректированное значение, пользователя, дату и комментарий.</w:t>
      </w:r>
    </w:p>
    <w:p w14:paraId="09E40463" w14:textId="77777777" w:rsidR="003957E6" w:rsidRDefault="008E24E4">
      <w:pPr>
        <w:pStyle w:val="a0"/>
        <w:rPr>
          <w:rFonts w:hint="eastAsia"/>
        </w:rPr>
      </w:pPr>
      <w:r>
        <w:t>Позволять задавать исключения для служебных занятий, административных часов, совместного преподавания и иных типов нагрузки.</w:t>
      </w:r>
    </w:p>
    <w:p w14:paraId="0B88F44E" w14:textId="77777777" w:rsidR="003957E6" w:rsidRDefault="008E24E4">
      <w:pPr>
        <w:pStyle w:val="a0"/>
        <w:rPr>
          <w:rFonts w:hint="eastAsia"/>
        </w:rPr>
      </w:pPr>
      <w:r>
        <w:t>Предусмотреть возможность распределения одного занятия между несколькими преподавателями по настраиваемому правилу.</w:t>
      </w:r>
    </w:p>
    <w:p w14:paraId="2010F981" w14:textId="77777777" w:rsidR="003957E6" w:rsidRDefault="008E24E4">
      <w:pPr>
        <w:pStyle w:val="1"/>
      </w:pPr>
      <w:r>
        <w:t>6. Отчёты и пользовательский интерфейс</w:t>
      </w:r>
    </w:p>
    <w:p w14:paraId="464080EF" w14:textId="77777777" w:rsidR="003957E6" w:rsidRDefault="008E24E4">
      <w:pPr>
        <w:rPr>
          <w:rFonts w:hint="eastAsia"/>
        </w:rPr>
      </w:pPr>
      <w:r>
        <w:t>Система должна предоставлять как минимум следующие представления:</w:t>
      </w:r>
    </w:p>
    <w:p w14:paraId="339F3E12" w14:textId="77777777" w:rsidR="003957E6" w:rsidRDefault="008E24E4">
      <w:pPr>
        <w:pStyle w:val="a0"/>
        <w:rPr>
          <w:rFonts w:hint="eastAsia"/>
        </w:rPr>
      </w:pPr>
      <w:r>
        <w:t>Сводный отчёт по преподавателям за период с фильтрами по филиалу, юрлицу, предмету и классу.</w:t>
      </w:r>
    </w:p>
    <w:p w14:paraId="7F1D0BEE" w14:textId="77777777" w:rsidR="003957E6" w:rsidRDefault="008E24E4">
      <w:pPr>
        <w:pStyle w:val="a0"/>
        <w:rPr>
          <w:rFonts w:hint="eastAsia"/>
        </w:rPr>
      </w:pPr>
      <w:r>
        <w:t>Карточку/детализацию преподавателя с построчной разбивкой «класс/группа – предмет – количество учеников – сумма контрактов – уроки – доля нагрузки – вклад».</w:t>
      </w:r>
    </w:p>
    <w:p w14:paraId="185FB009" w14:textId="77777777" w:rsidR="003957E6" w:rsidRDefault="008E24E4">
      <w:pPr>
        <w:pStyle w:val="a0"/>
        <w:rPr>
          <w:rFonts w:hint="eastAsia"/>
        </w:rPr>
      </w:pPr>
      <w:r>
        <w:t>Сравнение итогового вклада с оплатой труда за тот же период.</w:t>
      </w:r>
    </w:p>
    <w:p w14:paraId="29F10570" w14:textId="77777777" w:rsidR="003957E6" w:rsidRDefault="008E24E4">
      <w:pPr>
        <w:pStyle w:val="a0"/>
        <w:rPr>
          <w:rFonts w:hint="eastAsia"/>
        </w:rPr>
      </w:pPr>
      <w:r>
        <w:t>Просмотр динамики по периодам.</w:t>
      </w:r>
    </w:p>
    <w:p w14:paraId="1E6A6E0F" w14:textId="77777777" w:rsidR="003957E6" w:rsidRDefault="008E24E4">
      <w:pPr>
        <w:pStyle w:val="a0"/>
        <w:rPr>
          <w:rFonts w:hint="eastAsia"/>
        </w:rPr>
      </w:pPr>
      <w:r>
        <w:t>Отчёт по ошибкам и неполным данным: отсутствующая зарплата, отсутствующий контракт, неподтверждённое сопоставление, нулевая нагрузка класса и т.п.</w:t>
      </w:r>
    </w:p>
    <w:p w14:paraId="740CFD27" w14:textId="77777777" w:rsidR="003957E6" w:rsidRDefault="008E24E4">
      <w:pPr>
        <w:pStyle w:val="a0"/>
        <w:rPr>
          <w:rFonts w:hint="eastAsia"/>
        </w:rPr>
      </w:pPr>
      <w:r>
        <w:t>Экспорт отчётов в XLSX/CSV; печатная/PDF-форма — по предложению участника.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2160"/>
        <w:gridCol w:w="1584"/>
        <w:gridCol w:w="1656"/>
        <w:gridCol w:w="1944"/>
        <w:gridCol w:w="1800"/>
        <w:gridCol w:w="1080"/>
      </w:tblGrid>
      <w:tr w:rsidR="003957E6" w14:paraId="70E8CD15" w14:textId="77777777">
        <w:trPr>
          <w:cantSplit/>
          <w:tblHeader/>
          <w:jc w:val="center"/>
        </w:trPr>
        <w:tc>
          <w:tcPr>
            <w:tcW w:w="2160" w:type="dxa"/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158BADA" w14:textId="77777777" w:rsidR="003957E6" w:rsidRDefault="008E24E4">
            <w:pPr>
              <w:rPr>
                <w:rFonts w:hint="eastAsia"/>
              </w:rPr>
            </w:pPr>
            <w:r>
              <w:rPr>
                <w:b/>
                <w:color w:val="FFFFFF"/>
                <w:sz w:val="19"/>
              </w:rPr>
              <w:t>Преподаватель</w:t>
            </w:r>
          </w:p>
        </w:tc>
        <w:tc>
          <w:tcPr>
            <w:tcW w:w="1584" w:type="dxa"/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4051670" w14:textId="77777777" w:rsidR="003957E6" w:rsidRDefault="008E24E4">
            <w:pPr>
              <w:rPr>
                <w:rFonts w:hint="eastAsia"/>
              </w:rPr>
            </w:pPr>
            <w:r>
              <w:rPr>
                <w:b/>
                <w:color w:val="FFFFFF"/>
                <w:sz w:val="19"/>
              </w:rPr>
              <w:t>Филиал</w:t>
            </w:r>
          </w:p>
        </w:tc>
        <w:tc>
          <w:tcPr>
            <w:tcW w:w="1656" w:type="dxa"/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23A86FA" w14:textId="77777777" w:rsidR="003957E6" w:rsidRDefault="008E24E4">
            <w:pPr>
              <w:rPr>
                <w:rFonts w:hint="eastAsia"/>
              </w:rPr>
            </w:pPr>
            <w:r>
              <w:rPr>
                <w:b/>
                <w:color w:val="FFFFFF"/>
                <w:sz w:val="19"/>
              </w:rPr>
              <w:t>Вклад, ₽</w:t>
            </w:r>
          </w:p>
        </w:tc>
        <w:tc>
          <w:tcPr>
            <w:tcW w:w="1944" w:type="dxa"/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A58F8D0" w14:textId="77777777" w:rsidR="003957E6" w:rsidRDefault="008E24E4">
            <w:pPr>
              <w:rPr>
                <w:rFonts w:hint="eastAsia"/>
              </w:rPr>
            </w:pPr>
            <w:r>
              <w:rPr>
                <w:b/>
                <w:color w:val="FFFFFF"/>
                <w:sz w:val="19"/>
              </w:rPr>
              <w:t>Оплата труда, ₽</w:t>
            </w:r>
          </w:p>
        </w:tc>
        <w:tc>
          <w:tcPr>
            <w:tcW w:w="1800" w:type="dxa"/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24E3528" w14:textId="77777777" w:rsidR="003957E6" w:rsidRDefault="008E24E4">
            <w:pPr>
              <w:rPr>
                <w:rFonts w:hint="eastAsia"/>
              </w:rPr>
            </w:pPr>
            <w:r>
              <w:rPr>
                <w:b/>
                <w:color w:val="FFFFFF"/>
                <w:sz w:val="19"/>
              </w:rPr>
              <w:t>Результат, ₽</w:t>
            </w:r>
          </w:p>
        </w:tc>
        <w:tc>
          <w:tcPr>
            <w:tcW w:w="1080" w:type="dxa"/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D5A0118" w14:textId="77777777" w:rsidR="003957E6" w:rsidRDefault="008E24E4">
            <w:pPr>
              <w:rPr>
                <w:rFonts w:hint="eastAsia"/>
              </w:rPr>
            </w:pPr>
            <w:r>
              <w:rPr>
                <w:b/>
                <w:color w:val="FFFFFF"/>
                <w:sz w:val="19"/>
              </w:rPr>
              <w:t>Коэф.</w:t>
            </w:r>
          </w:p>
        </w:tc>
      </w:tr>
      <w:tr w:rsidR="003957E6" w14:paraId="3EF74DA8" w14:textId="77777777">
        <w:trPr>
          <w:cantSplit/>
          <w:jc w:val="center"/>
        </w:trPr>
        <w:tc>
          <w:tcPr>
            <w:tcW w:w="21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E1096E4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Piter Pen</w:t>
            </w:r>
          </w:p>
        </w:tc>
        <w:tc>
          <w:tcPr>
            <w:tcW w:w="158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D7970D5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Филиал 1</w:t>
            </w:r>
          </w:p>
        </w:tc>
        <w:tc>
          <w:tcPr>
            <w:tcW w:w="165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6EA8A93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3 672 800</w:t>
            </w:r>
          </w:p>
        </w:tc>
        <w:tc>
          <w:tcPr>
            <w:tcW w:w="194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ED2F229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250 000</w:t>
            </w:r>
          </w:p>
        </w:tc>
        <w:tc>
          <w:tcPr>
            <w:tcW w:w="18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DA0D0AE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3 422 800</w:t>
            </w:r>
          </w:p>
        </w:tc>
        <w:tc>
          <w:tcPr>
            <w:tcW w:w="108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D728F7B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14,7x</w:t>
            </w:r>
          </w:p>
        </w:tc>
      </w:tr>
      <w:tr w:rsidR="003957E6" w14:paraId="7D67E0C9" w14:textId="77777777">
        <w:trPr>
          <w:cantSplit/>
          <w:jc w:val="center"/>
        </w:trPr>
        <w:tc>
          <w:tcPr>
            <w:tcW w:w="21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06AF60E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lastRenderedPageBreak/>
              <w:t>Alice Green</w:t>
            </w:r>
          </w:p>
        </w:tc>
        <w:tc>
          <w:tcPr>
            <w:tcW w:w="158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26E50A1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Филиал 1</w:t>
            </w:r>
          </w:p>
        </w:tc>
        <w:tc>
          <w:tcPr>
            <w:tcW w:w="165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D17E64A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1 420 000</w:t>
            </w:r>
          </w:p>
        </w:tc>
        <w:tc>
          <w:tcPr>
            <w:tcW w:w="194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8EA6866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230 000</w:t>
            </w:r>
          </w:p>
        </w:tc>
        <w:tc>
          <w:tcPr>
            <w:tcW w:w="18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3B3B76C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1 190 000</w:t>
            </w:r>
          </w:p>
        </w:tc>
        <w:tc>
          <w:tcPr>
            <w:tcW w:w="108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0905DB6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6,2x</w:t>
            </w:r>
          </w:p>
        </w:tc>
      </w:tr>
    </w:tbl>
    <w:p w14:paraId="15277EC6" w14:textId="77777777" w:rsidR="003957E6" w:rsidRDefault="003957E6">
      <w:pPr>
        <w:spacing w:after="20"/>
        <w:rPr>
          <w:rFonts w:hint="eastAsia"/>
        </w:rPr>
      </w:pPr>
    </w:p>
    <w:p w14:paraId="2737403B" w14:textId="77777777" w:rsidR="003957E6" w:rsidRDefault="008E24E4">
      <w:pPr>
        <w:pStyle w:val="1"/>
      </w:pPr>
      <w:r>
        <w:t>7. Требования к архитектурному предложению участника</w:t>
      </w:r>
    </w:p>
    <w:p w14:paraId="0DA7EA28" w14:textId="77777777" w:rsidR="003957E6" w:rsidRDefault="008E24E4">
      <w:pPr>
        <w:rPr>
          <w:rFonts w:hint="eastAsia"/>
        </w:rPr>
      </w:pPr>
      <w:r>
        <w:t>Заказчик намеренно не закрепляет в ТЗ единственную технологическую платформу. Участник должен предложить архитектуру и обосновать её с точки зрения стоимости владения, сроков, надёжности, безопасности и эксплуатации.</w:t>
      </w:r>
    </w:p>
    <w:p w14:paraId="7DCEC862" w14:textId="77777777" w:rsidR="003957E6" w:rsidRDefault="008E24E4">
      <w:pPr>
        <w:rPr>
          <w:rFonts w:hint="eastAsia"/>
        </w:rPr>
      </w:pPr>
      <w:r>
        <w:t>В тендерном предложении должны быть отдельно рассмотрены как минимум следующие классы реализации: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2232"/>
        <w:gridCol w:w="4248"/>
        <w:gridCol w:w="3456"/>
      </w:tblGrid>
      <w:tr w:rsidR="003957E6" w14:paraId="3CA6F229" w14:textId="77777777">
        <w:trPr>
          <w:cantSplit/>
          <w:tblHeader/>
          <w:jc w:val="center"/>
        </w:trPr>
        <w:tc>
          <w:tcPr>
            <w:tcW w:w="2232" w:type="dxa"/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0EA5F3A" w14:textId="77777777" w:rsidR="003957E6" w:rsidRDefault="008E24E4">
            <w:pPr>
              <w:rPr>
                <w:rFonts w:hint="eastAsia"/>
              </w:rPr>
            </w:pPr>
            <w:r>
              <w:rPr>
                <w:b/>
                <w:color w:val="FFFFFF"/>
                <w:sz w:val="19"/>
              </w:rPr>
              <w:t>Вариант</w:t>
            </w:r>
          </w:p>
        </w:tc>
        <w:tc>
          <w:tcPr>
            <w:tcW w:w="4248" w:type="dxa"/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A53DEB5" w14:textId="77777777" w:rsidR="003957E6" w:rsidRDefault="008E24E4">
            <w:pPr>
              <w:rPr>
                <w:rFonts w:hint="eastAsia"/>
              </w:rPr>
            </w:pPr>
            <w:r>
              <w:rPr>
                <w:b/>
                <w:color w:val="FFFFFF"/>
                <w:sz w:val="19"/>
              </w:rPr>
              <w:t>Что допускается</w:t>
            </w:r>
          </w:p>
        </w:tc>
        <w:tc>
          <w:tcPr>
            <w:tcW w:w="3456" w:type="dxa"/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E9386CB" w14:textId="77777777" w:rsidR="003957E6" w:rsidRDefault="008E24E4">
            <w:pPr>
              <w:rPr>
                <w:rFonts w:hint="eastAsia"/>
              </w:rPr>
            </w:pPr>
            <w:r>
              <w:rPr>
                <w:b/>
                <w:color w:val="FFFFFF"/>
                <w:sz w:val="19"/>
              </w:rPr>
              <w:t>Что участник должен оценить</w:t>
            </w:r>
          </w:p>
        </w:tc>
      </w:tr>
      <w:tr w:rsidR="003957E6" w14:paraId="20728A26" w14:textId="77777777">
        <w:trPr>
          <w:cantSplit/>
          <w:jc w:val="center"/>
        </w:trPr>
        <w:tc>
          <w:tcPr>
            <w:tcW w:w="223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BA4F59E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A. Решение на платформе 1С:Предприятие</w:t>
            </w:r>
          </w:p>
        </w:tc>
        <w:tc>
          <w:tcPr>
            <w:tcW w:w="424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26FAFBA" w14:textId="77777777" w:rsidR="003957E6" w:rsidRDefault="008E24E4">
            <w:pPr>
              <w:rPr>
                <w:rFonts w:hint="eastAsia"/>
              </w:rPr>
            </w:pPr>
            <w:r>
              <w:t>Отдельная специализированная информационная база/кастомная конфигурация; расширение существующей конфигурации; отдельный расчётный контур на 1С с интеграцией с двумя ЗУП, EduPage и Bitrix24. Заказчик располагает собственным 1С-сервером с клиент-серверной структурой баз данных, лицензией 1С КОРП и шаблоном конфигурации 1С БП.</w:t>
            </w:r>
          </w:p>
        </w:tc>
        <w:tc>
          <w:tcPr>
            <w:tcW w:w="345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1B539AE" w14:textId="77777777" w:rsidR="003957E6" w:rsidRDefault="008E24E4">
            <w:pPr>
              <w:rPr>
                <w:rFonts w:hint="eastAsia"/>
              </w:rPr>
            </w:pPr>
            <w:r>
              <w:t>Необходимость дополнительных лицензий и серверных ресурсов, разработка, обновления, поддержка, механизм интеграции, изоляция от типовых ЗУП.</w:t>
            </w:r>
          </w:p>
        </w:tc>
      </w:tr>
      <w:tr w:rsidR="003957E6" w14:paraId="39427409" w14:textId="77777777">
        <w:trPr>
          <w:cantSplit/>
          <w:jc w:val="center"/>
        </w:trPr>
        <w:tc>
          <w:tcPr>
            <w:tcW w:w="223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52AA7A6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B. Отдельное прикладное web-решение</w:t>
            </w:r>
          </w:p>
        </w:tc>
        <w:tc>
          <w:tcPr>
            <w:tcW w:w="424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06E85F7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Собственная БД и backend/frontend; развёртывание на выделенном или существующем сервере заказчика.</w:t>
            </w:r>
          </w:p>
        </w:tc>
        <w:tc>
          <w:tcPr>
            <w:tcW w:w="345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B161579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Стек, схема БД, резервирование, мониторинг, API, сопровождение, права на исходный код и документацию.</w:t>
            </w:r>
          </w:p>
        </w:tc>
      </w:tr>
      <w:tr w:rsidR="003957E6" w14:paraId="3682BC83" w14:textId="77777777">
        <w:trPr>
          <w:cantSplit/>
          <w:jc w:val="center"/>
        </w:trPr>
        <w:tc>
          <w:tcPr>
            <w:tcW w:w="223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56A5622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C. Решение с использованием Bitrix24</w:t>
            </w:r>
          </w:p>
        </w:tc>
        <w:tc>
          <w:tcPr>
            <w:tcW w:w="424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B774087" w14:textId="77777777" w:rsidR="003957E6" w:rsidRDefault="008E24E4">
            <w:pPr>
              <w:rPr>
                <w:rFonts w:hint="eastAsia"/>
              </w:rPr>
            </w:pPr>
            <w:r>
              <w:t>Локальный модуль/приложение/интерфейс, smart-process/CRM-сущности или комбинированный подход. Bitrix24 при любом варианте остаётся действующей CRM и источником данных о контрактах учеников.</w:t>
            </w:r>
          </w:p>
        </w:tc>
        <w:tc>
          <w:tcPr>
            <w:tcW w:w="345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8F33D48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Где хранятся исходные и расчётные данные, влияние обновлений Б24, производительность, ограничения модели данных и сопровождение.</w:t>
            </w:r>
          </w:p>
        </w:tc>
      </w:tr>
      <w:tr w:rsidR="003957E6" w14:paraId="16BF2EB5" w14:textId="77777777">
        <w:trPr>
          <w:cantSplit/>
          <w:jc w:val="center"/>
        </w:trPr>
        <w:tc>
          <w:tcPr>
            <w:tcW w:w="223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086C0C2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D. Комбинированное решение</w:t>
            </w:r>
          </w:p>
        </w:tc>
        <w:tc>
          <w:tcPr>
            <w:tcW w:w="424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C9DC424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Например, интеграционное ядро + БД + интерфейс в Б24/BI; 1С как расчётное ядро и внешний интерфейс и т.п.</w:t>
            </w:r>
          </w:p>
        </w:tc>
        <w:tc>
          <w:tcPr>
            <w:tcW w:w="345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B7A87F9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Границы компонентов, ответственность за данные, интеграции, TCO и эксплуатационная сложность.</w:t>
            </w:r>
          </w:p>
        </w:tc>
      </w:tr>
    </w:tbl>
    <w:p w14:paraId="3F6F81AA" w14:textId="77777777" w:rsidR="003957E6" w:rsidRDefault="003957E6">
      <w:pPr>
        <w:spacing w:after="20"/>
        <w:rPr>
          <w:rFonts w:hint="eastAsia"/>
        </w:rPr>
      </w:pPr>
    </w:p>
    <w:p w14:paraId="33CE1B2B" w14:textId="77777777" w:rsidR="003957E6" w:rsidRDefault="008E24E4">
      <w:pPr>
        <w:pStyle w:val="21"/>
      </w:pPr>
      <w:r>
        <w:t>7.1. Специальные требования к варианту на 1С</w:t>
      </w:r>
    </w:p>
    <w:p w14:paraId="04F5143F" w14:textId="77777777" w:rsidR="003957E6" w:rsidRDefault="008E24E4">
      <w:pPr>
        <w:rPr>
          <w:rFonts w:hint="eastAsia"/>
        </w:rPr>
      </w:pPr>
      <w:r>
        <w:t>Если участник предлагает реализацию на платформе 1С:Предприятие, предпочтительно рассмотреть отдельную информационную базу/конфигурацию как самостоятельный расчётный контур, чтобы не вносить существенные изменения в две действующие базы 1С:ЗУП. Допускается иное решение при наличии обоснования.</w:t>
      </w:r>
    </w:p>
    <w:p w14:paraId="49165D46" w14:textId="77777777" w:rsidR="003957E6" w:rsidRDefault="008E24E4">
      <w:pPr>
        <w:pStyle w:val="a0"/>
        <w:rPr>
          <w:rFonts w:hint="eastAsia"/>
        </w:rPr>
      </w:pPr>
      <w:r>
        <w:lastRenderedPageBreak/>
        <w:t>Интеграция с каждой базой 1С:ЗУП должна быть реализована штатными/поддерживаемыми механизмами обмена либо через ограниченный интеграционный интерфейс, без несанкционированного прямого изменения данных типовой ЗУП.</w:t>
      </w:r>
    </w:p>
    <w:p w14:paraId="7A051C98" w14:textId="77777777" w:rsidR="003957E6" w:rsidRDefault="008E24E4">
      <w:pPr>
        <w:pStyle w:val="a0"/>
        <w:rPr>
          <w:rFonts w:hint="eastAsia"/>
        </w:rPr>
      </w:pPr>
      <w:r>
        <w:t>Расчётная база должна уметь хранить собственные справочники соответствий, версии загрузок и историю расчётов.</w:t>
      </w:r>
    </w:p>
    <w:p w14:paraId="3126EF14" w14:textId="77777777" w:rsidR="003957E6" w:rsidRDefault="008E24E4">
      <w:pPr>
        <w:pStyle w:val="a0"/>
        <w:rPr>
          <w:rFonts w:hint="eastAsia"/>
        </w:rPr>
      </w:pPr>
      <w:r>
        <w:t>Модификации типовых конфигураций ЗУП должны быть минимизированы; предпочтительны расширения и внешние/интеграционные механизмы.</w:t>
      </w:r>
    </w:p>
    <w:p w14:paraId="3DAE8F7C" w14:textId="77777777" w:rsidR="003957E6" w:rsidRDefault="008E24E4">
      <w:pPr>
        <w:pStyle w:val="a0"/>
        <w:rPr>
          <w:rFonts w:hint="eastAsia"/>
        </w:rPr>
      </w:pPr>
      <w:r>
        <w:t>Участник должен явно указать, какие лицензии 1С потребуются дополнительно, включая серверные/клиентские лицензии, если применимо.</w:t>
      </w:r>
    </w:p>
    <w:p w14:paraId="6CC34AE1" w14:textId="77777777" w:rsidR="003957E6" w:rsidRDefault="008E24E4">
      <w:pPr>
        <w:pStyle w:val="a0"/>
        <w:rPr>
          <w:rFonts w:hint="eastAsia"/>
        </w:rPr>
      </w:pPr>
      <w:r>
        <w:t>Должны быть описаны порядок обновления решения при обновлении платформы/ЗУП и границы ответственности сопровождения.</w:t>
      </w:r>
    </w:p>
    <w:p w14:paraId="1B1C9AD8" w14:textId="77777777" w:rsidR="003957E6" w:rsidRDefault="008E24E4">
      <w:pPr>
        <w:pStyle w:val="a0"/>
        <w:rPr>
          <w:rFonts w:hint="eastAsia"/>
        </w:rPr>
      </w:pPr>
      <w:r>
        <w:t>Исходный код разработанной конфигурации/расширений и техническая документация должны передаваться заказчику в объёме, достаточном для сопровождения третьей стороной.</w:t>
      </w:r>
    </w:p>
    <w:p w14:paraId="336D02BF" w14:textId="77777777" w:rsidR="003957E6" w:rsidRDefault="008E24E4">
      <w:pPr>
        <w:pStyle w:val="1"/>
      </w:pPr>
      <w:r>
        <w:t>8. Требования к интеграциям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2376"/>
        <w:gridCol w:w="7560"/>
      </w:tblGrid>
      <w:tr w:rsidR="003957E6" w14:paraId="66145C28" w14:textId="77777777">
        <w:trPr>
          <w:cantSplit/>
          <w:tblHeader/>
          <w:jc w:val="center"/>
        </w:trPr>
        <w:tc>
          <w:tcPr>
            <w:tcW w:w="2376" w:type="dxa"/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80F2EA7" w14:textId="77777777" w:rsidR="003957E6" w:rsidRDefault="008E24E4">
            <w:pPr>
              <w:rPr>
                <w:rFonts w:hint="eastAsia"/>
              </w:rPr>
            </w:pPr>
            <w:r>
              <w:rPr>
                <w:b/>
                <w:color w:val="FFFFFF"/>
                <w:sz w:val="19"/>
              </w:rPr>
              <w:t>Интеграция</w:t>
            </w:r>
          </w:p>
        </w:tc>
        <w:tc>
          <w:tcPr>
            <w:tcW w:w="7560" w:type="dxa"/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97DB1A1" w14:textId="77777777" w:rsidR="003957E6" w:rsidRDefault="008E24E4">
            <w:pPr>
              <w:rPr>
                <w:rFonts w:hint="eastAsia"/>
              </w:rPr>
            </w:pPr>
            <w:r>
              <w:rPr>
                <w:b/>
                <w:color w:val="FFFFFF"/>
                <w:sz w:val="19"/>
              </w:rPr>
              <w:t>Обязательные требования</w:t>
            </w:r>
          </w:p>
        </w:tc>
      </w:tr>
      <w:tr w:rsidR="003957E6" w14:paraId="69ADC280" w14:textId="77777777">
        <w:trPr>
          <w:cantSplit/>
          <w:jc w:val="center"/>
        </w:trPr>
        <w:tc>
          <w:tcPr>
            <w:tcW w:w="237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6204F50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1С:ЗУП → решение</w:t>
            </w:r>
          </w:p>
        </w:tc>
        <w:tc>
          <w:tcPr>
            <w:tcW w:w="75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08F6F4E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Получение сотрудников и данных оплаты труда за период; раздельная идентификация двух юрлиц; повторяемость загрузки; журнал ошибок; минимальные права сервисной учётной записи.</w:t>
            </w:r>
          </w:p>
        </w:tc>
      </w:tr>
      <w:tr w:rsidR="003957E6" w14:paraId="0D552D4C" w14:textId="77777777">
        <w:trPr>
          <w:cantSplit/>
          <w:jc w:val="center"/>
        </w:trPr>
        <w:tc>
          <w:tcPr>
            <w:tcW w:w="237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A0B870F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EduPage → решение</w:t>
            </w:r>
          </w:p>
        </w:tc>
        <w:tc>
          <w:tcPr>
            <w:tcW w:w="75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7492D21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Поддержка пяти аккаунтов; импорт преподавателей, классов/групп, предметов, расписания и доступного состава групп; хранение внешних ID и источника/филиала.</w:t>
            </w:r>
          </w:p>
        </w:tc>
      </w:tr>
      <w:tr w:rsidR="003957E6" w14:paraId="5D07FAA7" w14:textId="77777777">
        <w:trPr>
          <w:cantSplit/>
          <w:jc w:val="center"/>
        </w:trPr>
        <w:tc>
          <w:tcPr>
            <w:tcW w:w="237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7B77C14" w14:textId="77777777" w:rsidR="003957E6" w:rsidRDefault="008E24E4">
            <w:pPr>
              <w:rPr>
                <w:rFonts w:hint="eastAsia"/>
              </w:rPr>
            </w:pPr>
            <w:r>
              <w:t>Bitrix24 → решение</w:t>
            </w:r>
          </w:p>
        </w:tc>
        <w:tc>
          <w:tcPr>
            <w:tcW w:w="75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51FB8F8" w14:textId="77777777" w:rsidR="003957E6" w:rsidRDefault="008E24E4">
            <w:pPr>
              <w:rPr>
                <w:rFonts w:hint="eastAsia"/>
              </w:rPr>
            </w:pPr>
            <w:r>
              <w:t>Импорт данных о контрактах учеников, включая идентификатор ученика/контракта, стоимость договора, период действия и согласованные статусы; правила выбора действующего договора; контроль отсутствующих и дублирующихся данных.</w:t>
            </w:r>
          </w:p>
        </w:tc>
      </w:tr>
      <w:tr w:rsidR="003957E6" w14:paraId="7BA31C4A" w14:textId="77777777">
        <w:trPr>
          <w:cantSplit/>
          <w:jc w:val="center"/>
        </w:trPr>
        <w:tc>
          <w:tcPr>
            <w:tcW w:w="237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627BC8D" w14:textId="77777777" w:rsidR="003957E6" w:rsidRDefault="008E24E4">
            <w:pPr>
              <w:rPr>
                <w:rFonts w:hint="eastAsia"/>
              </w:rPr>
            </w:pPr>
            <w:r>
              <w:t>Решение ↔ Bitrix24 (дополнительно)</w:t>
            </w:r>
          </w:p>
        </w:tc>
        <w:tc>
          <w:tcPr>
            <w:tcW w:w="75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D792592" w14:textId="77777777" w:rsidR="003957E6" w:rsidRDefault="008E24E4">
            <w:pPr>
              <w:rPr>
                <w:rFonts w:hint="eastAsia"/>
              </w:rPr>
            </w:pPr>
            <w:r>
              <w:t>Если Bitrix24 используется также в пользовательском процессе: публикация отчёта/ссылки, авторизация/SSO, уведомления или задачи — по предложению участника. Эти функции не заменяют обязательное получение контрактных данных из Bitrix24.</w:t>
            </w:r>
          </w:p>
        </w:tc>
      </w:tr>
    </w:tbl>
    <w:p w14:paraId="3B81434F" w14:textId="77777777" w:rsidR="003957E6" w:rsidRDefault="003957E6">
      <w:pPr>
        <w:spacing w:after="20"/>
        <w:rPr>
          <w:rFonts w:hint="eastAsia"/>
        </w:rPr>
      </w:pPr>
    </w:p>
    <w:p w14:paraId="69001446" w14:textId="77777777" w:rsidR="003957E6" w:rsidRDefault="008E24E4">
      <w:pPr>
        <w:rPr>
          <w:rFonts w:hint="eastAsia"/>
        </w:rPr>
      </w:pPr>
      <w:r>
        <w:t>Вебхуки могут использоваться для оперативной передачи событий, однако участник должен предусмотреть механизм сверочной/регламентной синхронизации, позволяющий восстановить согласованность данных при пропущенном событии или временной недоступности одной из систем.</w:t>
      </w:r>
    </w:p>
    <w:p w14:paraId="4316B4D2" w14:textId="77777777" w:rsidR="003957E6" w:rsidRDefault="008E24E4">
      <w:pPr>
        <w:pStyle w:val="1"/>
      </w:pPr>
      <w:r>
        <w:t>9. Историчность, контроль качества и аудит</w:t>
      </w:r>
    </w:p>
    <w:p w14:paraId="5923ABA3" w14:textId="77777777" w:rsidR="003957E6" w:rsidRDefault="008E24E4">
      <w:pPr>
        <w:pStyle w:val="a0"/>
        <w:rPr>
          <w:rFonts w:hint="eastAsia"/>
        </w:rPr>
      </w:pPr>
      <w:r>
        <w:t>Хранение расчётных периодов и версии исходных данных, использованной для расчёта.</w:t>
      </w:r>
    </w:p>
    <w:p w14:paraId="487C73C4" w14:textId="77777777" w:rsidR="003957E6" w:rsidRDefault="008E24E4">
      <w:pPr>
        <w:pStyle w:val="a0"/>
        <w:rPr>
          <w:rFonts w:hint="eastAsia"/>
        </w:rPr>
      </w:pPr>
      <w:r>
        <w:t>Возможность повторно открыть ранее утверждённый расчёт без его незаметного изменения после последующих синхронизаций.</w:t>
      </w:r>
    </w:p>
    <w:p w14:paraId="69720117" w14:textId="77777777" w:rsidR="003957E6" w:rsidRDefault="008E24E4">
      <w:pPr>
        <w:pStyle w:val="a0"/>
        <w:rPr>
          <w:rFonts w:hint="eastAsia"/>
        </w:rPr>
      </w:pPr>
      <w:r>
        <w:t>Протоколирование загрузок, пересчётов и ручных корректировок.</w:t>
      </w:r>
    </w:p>
    <w:p w14:paraId="55A0B5DB" w14:textId="77777777" w:rsidR="003957E6" w:rsidRDefault="008E24E4">
      <w:pPr>
        <w:pStyle w:val="a0"/>
        <w:rPr>
          <w:rFonts w:hint="eastAsia"/>
        </w:rPr>
      </w:pPr>
      <w:r>
        <w:t>Контроль полноты: преподаватель без зарплаты; ученик без контракта; занятие без преподавателя; неизвестный предмет; нулевая общая нагрузка; конфликт сопоставления.</w:t>
      </w:r>
    </w:p>
    <w:p w14:paraId="116D7EFC" w14:textId="77777777" w:rsidR="003957E6" w:rsidRDefault="008E24E4">
      <w:pPr>
        <w:pStyle w:val="a0"/>
        <w:rPr>
          <w:rFonts w:hint="eastAsia"/>
        </w:rPr>
      </w:pPr>
      <w:r>
        <w:t>Формирование отчёта о качестве данных до запуска окончательного расчёта.</w:t>
      </w:r>
    </w:p>
    <w:p w14:paraId="30AD36A8" w14:textId="77777777" w:rsidR="003957E6" w:rsidRDefault="008E24E4">
      <w:pPr>
        <w:pStyle w:val="a0"/>
        <w:rPr>
          <w:rFonts w:hint="eastAsia"/>
        </w:rPr>
      </w:pPr>
      <w:r>
        <w:t>Возможность отменить ошибочную загрузку/пересчёт либо восстановить предыдущую версию по документированному сценарию.</w:t>
      </w:r>
    </w:p>
    <w:p w14:paraId="00168BD9" w14:textId="77777777" w:rsidR="003957E6" w:rsidRDefault="008E24E4">
      <w:pPr>
        <w:pStyle w:val="1"/>
      </w:pPr>
      <w:r>
        <w:lastRenderedPageBreak/>
        <w:t>10. Информационная безопасность и персональные данные</w:t>
      </w:r>
    </w:p>
    <w:p w14:paraId="7BFFBBE0" w14:textId="77777777" w:rsidR="003957E6" w:rsidRDefault="008E24E4">
      <w:pPr>
        <w:pStyle w:val="a0"/>
        <w:rPr>
          <w:rFonts w:hint="eastAsia"/>
        </w:rPr>
      </w:pPr>
      <w:r>
        <w:t>Доступ по ролям: администратор, расчётчик/HR/финансы, руководитель, просмотр отчётов; окончательная ролевая модель согласуется на обследовании.</w:t>
      </w:r>
    </w:p>
    <w:p w14:paraId="1CD77B7C" w14:textId="77777777" w:rsidR="003957E6" w:rsidRDefault="008E24E4">
      <w:pPr>
        <w:pStyle w:val="a0"/>
        <w:rPr>
          <w:rFonts w:hint="eastAsia"/>
        </w:rPr>
      </w:pPr>
      <w:r>
        <w:t>Зарплатные сведения должны быть недоступны пользователям без соответствующих полномочий.</w:t>
      </w:r>
    </w:p>
    <w:p w14:paraId="11A915F2" w14:textId="77777777" w:rsidR="003957E6" w:rsidRDefault="008E24E4">
      <w:pPr>
        <w:pStyle w:val="a0"/>
        <w:rPr>
          <w:rFonts w:hint="eastAsia"/>
        </w:rPr>
      </w:pPr>
      <w:r>
        <w:t>Интеграционные учётные записи должны иметь минимально необходимые права.</w:t>
      </w:r>
    </w:p>
    <w:p w14:paraId="1EBBACD9" w14:textId="77777777" w:rsidR="003957E6" w:rsidRDefault="008E24E4">
      <w:pPr>
        <w:pStyle w:val="a0"/>
        <w:rPr>
          <w:rFonts w:hint="eastAsia"/>
        </w:rPr>
      </w:pPr>
      <w:r>
        <w:t>Все сетевые интеграции должны выполняться по защищённым каналам; секреты и пароли не должны храниться в открытом виде в исходном коде.</w:t>
      </w:r>
    </w:p>
    <w:p w14:paraId="20E2C2B2" w14:textId="77777777" w:rsidR="003957E6" w:rsidRDefault="008E24E4">
      <w:pPr>
        <w:pStyle w:val="a0"/>
        <w:rPr>
          <w:rFonts w:hint="eastAsia"/>
        </w:rPr>
      </w:pPr>
      <w:r>
        <w:t>Должен вестись аудит действий пользователей, связанных с изменением правил, корректировками и утверждением расчётов.</w:t>
      </w:r>
    </w:p>
    <w:p w14:paraId="3653F38B" w14:textId="77777777" w:rsidR="003957E6" w:rsidRDefault="008E24E4">
      <w:pPr>
        <w:pStyle w:val="a0"/>
        <w:rPr>
          <w:rFonts w:hint="eastAsia"/>
        </w:rPr>
      </w:pPr>
      <w:r>
        <w:t>Участник должен описать размещение данных, резервное копирование, восстановление после сбоя и применимые меры защиты персональных данных.</w:t>
      </w:r>
    </w:p>
    <w:p w14:paraId="4DB2DCE8" w14:textId="77777777" w:rsidR="003957E6" w:rsidRDefault="008E24E4">
      <w:pPr>
        <w:pStyle w:val="1"/>
      </w:pPr>
      <w:r>
        <w:t>11. Нефункциональные требования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2304"/>
        <w:gridCol w:w="7632"/>
      </w:tblGrid>
      <w:tr w:rsidR="003957E6" w14:paraId="350B142E" w14:textId="77777777">
        <w:trPr>
          <w:cantSplit/>
          <w:tblHeader/>
          <w:jc w:val="center"/>
        </w:trPr>
        <w:tc>
          <w:tcPr>
            <w:tcW w:w="2304" w:type="dxa"/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1D1A013" w14:textId="77777777" w:rsidR="003957E6" w:rsidRDefault="008E24E4">
            <w:pPr>
              <w:rPr>
                <w:rFonts w:hint="eastAsia"/>
              </w:rPr>
            </w:pPr>
            <w:r>
              <w:rPr>
                <w:b/>
                <w:color w:val="FFFFFF"/>
                <w:sz w:val="19"/>
              </w:rPr>
              <w:t>Требование</w:t>
            </w:r>
          </w:p>
        </w:tc>
        <w:tc>
          <w:tcPr>
            <w:tcW w:w="7632" w:type="dxa"/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1F6D30B" w14:textId="77777777" w:rsidR="003957E6" w:rsidRDefault="008E24E4">
            <w:pPr>
              <w:rPr>
                <w:rFonts w:hint="eastAsia"/>
              </w:rPr>
            </w:pPr>
            <w:r>
              <w:rPr>
                <w:b/>
                <w:color w:val="FFFFFF"/>
                <w:sz w:val="19"/>
              </w:rPr>
              <w:t>Ожидаемый результат</w:t>
            </w:r>
          </w:p>
        </w:tc>
      </w:tr>
      <w:tr w:rsidR="003957E6" w14:paraId="6AE42B4A" w14:textId="77777777">
        <w:trPr>
          <w:cantSplit/>
          <w:jc w:val="center"/>
        </w:trPr>
        <w:tc>
          <w:tcPr>
            <w:tcW w:w="230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511F19F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Развёртывание</w:t>
            </w:r>
          </w:p>
        </w:tc>
        <w:tc>
          <w:tcPr>
            <w:tcW w:w="763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C6F0A20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On-premise/частное облако/существующая инфраструктура заказчика — по согласованной архитектуре. Облачный SaaS с передачей чувствительных данных третьей стороне допускается только как явно выделенная альтернатива.</w:t>
            </w:r>
          </w:p>
        </w:tc>
      </w:tr>
      <w:tr w:rsidR="003957E6" w14:paraId="6776CCAF" w14:textId="77777777">
        <w:trPr>
          <w:cantSplit/>
          <w:jc w:val="center"/>
        </w:trPr>
        <w:tc>
          <w:tcPr>
            <w:tcW w:w="230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E5DA287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Производительность</w:t>
            </w:r>
          </w:p>
        </w:tc>
        <w:tc>
          <w:tcPr>
            <w:tcW w:w="763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930FD6A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Типовые отчёты за один расчётный период должны формироваться интерактивно; конкретные SLA участник предлагает после оценки объёма данных.</w:t>
            </w:r>
          </w:p>
        </w:tc>
      </w:tr>
      <w:tr w:rsidR="003957E6" w14:paraId="448778CA" w14:textId="77777777">
        <w:trPr>
          <w:cantSplit/>
          <w:jc w:val="center"/>
        </w:trPr>
        <w:tc>
          <w:tcPr>
            <w:tcW w:w="230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397351B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Масштабирование</w:t>
            </w:r>
          </w:p>
        </w:tc>
        <w:tc>
          <w:tcPr>
            <w:tcW w:w="763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ADD3D59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Архитектура должна допускать добавление новых филиалов, юрлиц, аккаунтов EduPage и расчётных показателей без полной переработки решения.</w:t>
            </w:r>
          </w:p>
        </w:tc>
      </w:tr>
      <w:tr w:rsidR="003957E6" w14:paraId="57D2F8EB" w14:textId="77777777">
        <w:trPr>
          <w:cantSplit/>
          <w:jc w:val="center"/>
        </w:trPr>
        <w:tc>
          <w:tcPr>
            <w:tcW w:w="230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C31C828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Резервное копирование</w:t>
            </w:r>
          </w:p>
        </w:tc>
        <w:tc>
          <w:tcPr>
            <w:tcW w:w="763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CD87A27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Регламент автоматического резервного копирования и проверяемый сценарий восстановления.</w:t>
            </w:r>
          </w:p>
        </w:tc>
      </w:tr>
      <w:tr w:rsidR="003957E6" w14:paraId="65F581A1" w14:textId="77777777">
        <w:trPr>
          <w:cantSplit/>
          <w:jc w:val="center"/>
        </w:trPr>
        <w:tc>
          <w:tcPr>
            <w:tcW w:w="230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3A4258A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Мониторинг</w:t>
            </w:r>
          </w:p>
        </w:tc>
        <w:tc>
          <w:tcPr>
            <w:tcW w:w="763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B40F4A0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Контроль неуспешных интеграций/регламентных заданий и уведомление ответственных лиц.</w:t>
            </w:r>
          </w:p>
        </w:tc>
      </w:tr>
      <w:tr w:rsidR="003957E6" w14:paraId="37BAF595" w14:textId="77777777">
        <w:trPr>
          <w:cantSplit/>
          <w:jc w:val="center"/>
        </w:trPr>
        <w:tc>
          <w:tcPr>
            <w:tcW w:w="230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67ADFB9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Документированность</w:t>
            </w:r>
          </w:p>
        </w:tc>
        <w:tc>
          <w:tcPr>
            <w:tcW w:w="763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2E574B5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Описание архитектуры, модели данных, интеграций, правил расчёта, развёртывания, резервирования и администрирования.</w:t>
            </w:r>
          </w:p>
        </w:tc>
      </w:tr>
      <w:tr w:rsidR="003957E6" w14:paraId="427EBB97" w14:textId="77777777">
        <w:trPr>
          <w:cantSplit/>
          <w:jc w:val="center"/>
        </w:trPr>
        <w:tc>
          <w:tcPr>
            <w:tcW w:w="230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A6C26F5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Сопровождаемость</w:t>
            </w:r>
          </w:p>
        </w:tc>
        <w:tc>
          <w:tcPr>
            <w:tcW w:w="763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21F369B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Недопустима критическая зависимость от недокументированных доработок ядра типовых систем.</w:t>
            </w:r>
          </w:p>
        </w:tc>
      </w:tr>
    </w:tbl>
    <w:p w14:paraId="12EF5D2F" w14:textId="77777777" w:rsidR="003957E6" w:rsidRDefault="003957E6">
      <w:pPr>
        <w:spacing w:after="20"/>
        <w:rPr>
          <w:rFonts w:hint="eastAsia"/>
        </w:rPr>
      </w:pPr>
    </w:p>
    <w:p w14:paraId="03D698F0" w14:textId="77777777" w:rsidR="003957E6" w:rsidRDefault="008E24E4">
      <w:pPr>
        <w:pStyle w:val="1"/>
      </w:pPr>
      <w:r>
        <w:t>12. Бизнес-правила, подлежащие уточнению на обследовании</w:t>
      </w:r>
    </w:p>
    <w:p w14:paraId="5AB5DFE4" w14:textId="77777777" w:rsidR="003957E6" w:rsidRDefault="008E24E4">
      <w:pPr>
        <w:rPr>
          <w:rFonts w:hint="eastAsia"/>
        </w:rPr>
      </w:pPr>
      <w:r>
        <w:t>Участник должен включить в объём предпроектного обследования и предложить формальные правила как минимум для следующих ситуаций:</w:t>
      </w:r>
    </w:p>
    <w:p w14:paraId="0E5B0A38" w14:textId="77777777" w:rsidR="003957E6" w:rsidRDefault="008E24E4">
      <w:pPr>
        <w:pStyle w:val="a0"/>
        <w:rPr>
          <w:rFonts w:hint="eastAsia"/>
        </w:rPr>
      </w:pPr>
      <w:r>
        <w:t>годовой/семестровый контракт при месячном расчёте эффективности;</w:t>
      </w:r>
    </w:p>
    <w:p w14:paraId="55A3B865" w14:textId="77777777" w:rsidR="003957E6" w:rsidRDefault="008E24E4">
      <w:pPr>
        <w:pStyle w:val="a0"/>
        <w:rPr>
          <w:rFonts w:hint="eastAsia"/>
        </w:rPr>
      </w:pPr>
      <w:r>
        <w:t>неполный период обучения ученика, возвраты, скидки и изменение стоимости договора;</w:t>
      </w:r>
    </w:p>
    <w:p w14:paraId="04E5E16C" w14:textId="77777777" w:rsidR="003957E6" w:rsidRDefault="008E24E4">
      <w:pPr>
        <w:pStyle w:val="a0"/>
        <w:rPr>
          <w:rFonts w:hint="eastAsia"/>
        </w:rPr>
      </w:pPr>
      <w:r>
        <w:t>смена класса/группы или предмета внутри периода;</w:t>
      </w:r>
    </w:p>
    <w:p w14:paraId="0205A0D7" w14:textId="77777777" w:rsidR="003957E6" w:rsidRDefault="008E24E4">
      <w:pPr>
        <w:pStyle w:val="a0"/>
        <w:rPr>
          <w:rFonts w:hint="eastAsia"/>
        </w:rPr>
      </w:pPr>
      <w:r>
        <w:t>изменение расписания внутри периода;</w:t>
      </w:r>
    </w:p>
    <w:p w14:paraId="2CF7F8DA" w14:textId="77777777" w:rsidR="003957E6" w:rsidRDefault="008E24E4">
      <w:pPr>
        <w:pStyle w:val="a0"/>
        <w:rPr>
          <w:rFonts w:hint="eastAsia"/>
        </w:rPr>
      </w:pPr>
      <w:r>
        <w:t>замещение одного преподавателя другим;</w:t>
      </w:r>
    </w:p>
    <w:p w14:paraId="40128523" w14:textId="77777777" w:rsidR="003957E6" w:rsidRDefault="008E24E4">
      <w:pPr>
        <w:pStyle w:val="a0"/>
        <w:rPr>
          <w:rFonts w:hint="eastAsia"/>
        </w:rPr>
      </w:pPr>
      <w:r>
        <w:t>совместное преподавание одного занятия несколькими преподавателями;</w:t>
      </w:r>
    </w:p>
    <w:p w14:paraId="218A5434" w14:textId="77777777" w:rsidR="003957E6" w:rsidRDefault="008E24E4">
      <w:pPr>
        <w:pStyle w:val="a0"/>
        <w:rPr>
          <w:rFonts w:hint="eastAsia"/>
        </w:rPr>
      </w:pPr>
      <w:r>
        <w:t>группа, собранная из учеников нескольких классов;</w:t>
      </w:r>
    </w:p>
    <w:p w14:paraId="52CD031D" w14:textId="77777777" w:rsidR="003957E6" w:rsidRDefault="008E24E4">
      <w:pPr>
        <w:pStyle w:val="a0"/>
        <w:rPr>
          <w:rFonts w:hint="eastAsia"/>
        </w:rPr>
      </w:pPr>
      <w:r>
        <w:t>административные/служебные занятия, не участвующие в распределении контрактной стоимости;</w:t>
      </w:r>
    </w:p>
    <w:p w14:paraId="1DFD6088" w14:textId="77777777" w:rsidR="003957E6" w:rsidRDefault="008E24E4">
      <w:pPr>
        <w:pStyle w:val="a0"/>
        <w:rPr>
          <w:rFonts w:hint="eastAsia"/>
        </w:rPr>
      </w:pPr>
      <w:r>
        <w:t>преподаватель, работающий одновременно в нескольких филиалах и/или юридических лицах;</w:t>
      </w:r>
    </w:p>
    <w:p w14:paraId="1C6CF196" w14:textId="77777777" w:rsidR="003957E6" w:rsidRDefault="008E24E4">
      <w:pPr>
        <w:pStyle w:val="a0"/>
        <w:rPr>
          <w:rFonts w:hint="eastAsia"/>
        </w:rPr>
      </w:pPr>
      <w:r>
        <w:lastRenderedPageBreak/>
        <w:t>состав показателя «оплата труда»: оклад, премии, отпускные, налоги/взносы работодателя и иные начисления.</w:t>
      </w:r>
    </w:p>
    <w:p w14:paraId="1A7CD977" w14:textId="77777777" w:rsidR="003957E6" w:rsidRDefault="008E24E4">
      <w:pPr>
        <w:pStyle w:val="1"/>
      </w:pPr>
      <w:r>
        <w:t>13. Этапы выполнения работ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2448"/>
        <w:gridCol w:w="7488"/>
      </w:tblGrid>
      <w:tr w:rsidR="003957E6" w14:paraId="456A24F8" w14:textId="77777777">
        <w:trPr>
          <w:cantSplit/>
          <w:tblHeader/>
          <w:jc w:val="center"/>
        </w:trPr>
        <w:tc>
          <w:tcPr>
            <w:tcW w:w="2448" w:type="dxa"/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2AF7921" w14:textId="77777777" w:rsidR="003957E6" w:rsidRDefault="008E24E4">
            <w:pPr>
              <w:rPr>
                <w:rFonts w:hint="eastAsia"/>
              </w:rPr>
            </w:pPr>
            <w:r>
              <w:rPr>
                <w:b/>
                <w:color w:val="FFFFFF"/>
                <w:sz w:val="19"/>
              </w:rPr>
              <w:t>Этап</w:t>
            </w:r>
          </w:p>
        </w:tc>
        <w:tc>
          <w:tcPr>
            <w:tcW w:w="7488" w:type="dxa"/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0C6CB17" w14:textId="77777777" w:rsidR="003957E6" w:rsidRDefault="008E24E4">
            <w:pPr>
              <w:rPr>
                <w:rFonts w:hint="eastAsia"/>
              </w:rPr>
            </w:pPr>
            <w:r>
              <w:rPr>
                <w:b/>
                <w:color w:val="FFFFFF"/>
                <w:sz w:val="19"/>
              </w:rPr>
              <w:t>Результат</w:t>
            </w:r>
          </w:p>
        </w:tc>
      </w:tr>
      <w:tr w:rsidR="003957E6" w14:paraId="0AC04955" w14:textId="77777777">
        <w:trPr>
          <w:cantSplit/>
          <w:jc w:val="center"/>
        </w:trPr>
        <w:tc>
          <w:tcPr>
            <w:tcW w:w="244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419225A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1. Обследование</w:t>
            </w:r>
          </w:p>
        </w:tc>
        <w:tc>
          <w:tcPr>
            <w:tcW w:w="748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3478B86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Карта источников и полей; подтверждённые идентификаторы; правила расчёта; протокол спорных бизнес-кейсов; архитектурное решение.</w:t>
            </w:r>
          </w:p>
        </w:tc>
      </w:tr>
      <w:tr w:rsidR="003957E6" w14:paraId="2922F543" w14:textId="77777777">
        <w:trPr>
          <w:cantSplit/>
          <w:jc w:val="center"/>
        </w:trPr>
        <w:tc>
          <w:tcPr>
            <w:tcW w:w="244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DC9F775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2. Проектирование</w:t>
            </w:r>
          </w:p>
        </w:tc>
        <w:tc>
          <w:tcPr>
            <w:tcW w:w="748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826F21D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Модель данных, схема интеграций, ролевая модель, прототип отчётов, план развёртывания и миграции.</w:t>
            </w:r>
          </w:p>
        </w:tc>
      </w:tr>
      <w:tr w:rsidR="003957E6" w14:paraId="3B8C3FA2" w14:textId="77777777">
        <w:trPr>
          <w:cantSplit/>
          <w:jc w:val="center"/>
        </w:trPr>
        <w:tc>
          <w:tcPr>
            <w:tcW w:w="244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D27E40E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3. Разработка и интеграции</w:t>
            </w:r>
          </w:p>
        </w:tc>
        <w:tc>
          <w:tcPr>
            <w:tcW w:w="748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E64C953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Рабочий контур, автоматические загрузки, расчётный модуль, интерфейс, журналирование.</w:t>
            </w:r>
          </w:p>
        </w:tc>
      </w:tr>
      <w:tr w:rsidR="003957E6" w14:paraId="7CDEFCFE" w14:textId="77777777">
        <w:trPr>
          <w:cantSplit/>
          <w:jc w:val="center"/>
        </w:trPr>
        <w:tc>
          <w:tcPr>
            <w:tcW w:w="244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E71F276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4. Тестирование</w:t>
            </w:r>
          </w:p>
        </w:tc>
        <w:tc>
          <w:tcPr>
            <w:tcW w:w="748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46F4CB8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Функциональные, интеграционные и приёмочные тесты на согласованной обезличенной/тестовой выборке.</w:t>
            </w:r>
          </w:p>
        </w:tc>
      </w:tr>
      <w:tr w:rsidR="003957E6" w14:paraId="5F0D3F63" w14:textId="77777777">
        <w:trPr>
          <w:cantSplit/>
          <w:jc w:val="center"/>
        </w:trPr>
        <w:tc>
          <w:tcPr>
            <w:tcW w:w="244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19C876D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5. Опытная эксплуатация</w:t>
            </w:r>
          </w:p>
        </w:tc>
        <w:tc>
          <w:tcPr>
            <w:tcW w:w="748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D040A55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Расчёт нескольких периодов параллельно с контрольным ручным расчётом, устранение расхождений.</w:t>
            </w:r>
          </w:p>
        </w:tc>
      </w:tr>
      <w:tr w:rsidR="003957E6" w14:paraId="0AEEF93E" w14:textId="77777777">
        <w:trPr>
          <w:cantSplit/>
          <w:jc w:val="center"/>
        </w:trPr>
        <w:tc>
          <w:tcPr>
            <w:tcW w:w="244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A459102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6. Ввод в эксплуатацию</w:t>
            </w:r>
          </w:p>
        </w:tc>
        <w:tc>
          <w:tcPr>
            <w:tcW w:w="748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9D8BD9C" w14:textId="77777777" w:rsidR="003957E6" w:rsidRDefault="008E24E4">
            <w:pPr>
              <w:rPr>
                <w:rFonts w:hint="eastAsia"/>
              </w:rPr>
            </w:pPr>
            <w:r>
              <w:t>Документация, обучение, передача исходного кода/конфигураций, регламент резервирования и эксплуатации.</w:t>
            </w:r>
          </w:p>
        </w:tc>
      </w:tr>
    </w:tbl>
    <w:p w14:paraId="0CDC84D6" w14:textId="77777777" w:rsidR="003957E6" w:rsidRDefault="003957E6">
      <w:pPr>
        <w:spacing w:after="20"/>
        <w:rPr>
          <w:rFonts w:hint="eastAsia"/>
        </w:rPr>
      </w:pPr>
    </w:p>
    <w:p w14:paraId="02E0B9E5" w14:textId="77777777" w:rsidR="003957E6" w:rsidRDefault="008E24E4">
      <w:pPr>
        <w:pStyle w:val="1"/>
      </w:pPr>
      <w:r>
        <w:t>14. Критерии приёмки</w:t>
      </w:r>
    </w:p>
    <w:p w14:paraId="024849DB" w14:textId="77777777" w:rsidR="003957E6" w:rsidRDefault="008E24E4">
      <w:pPr>
        <w:pStyle w:val="a0"/>
        <w:rPr>
          <w:rFonts w:hint="eastAsia"/>
        </w:rPr>
      </w:pPr>
      <w:r>
        <w:t>Данные автоматически загружаются минимум из двух баз 1С:ЗУП, пяти аккаунтов EduPage и CRM Bitrix24 по согласованному регламенту.</w:t>
      </w:r>
    </w:p>
    <w:p w14:paraId="2A460ADD" w14:textId="77777777" w:rsidR="003957E6" w:rsidRDefault="008E24E4">
      <w:pPr>
        <w:pStyle w:val="a0"/>
        <w:rPr>
          <w:rFonts w:hint="eastAsia"/>
        </w:rPr>
      </w:pPr>
      <w:r>
        <w:t>Для контрольной выборки связок «Преподаватель – Предмет – Класс/группа» система корректно воспроизводит согласованный эталонный расчёт.</w:t>
      </w:r>
    </w:p>
    <w:p w14:paraId="5C1B8284" w14:textId="77777777" w:rsidR="003957E6" w:rsidRDefault="008E24E4">
      <w:pPr>
        <w:pStyle w:val="a0"/>
        <w:rPr>
          <w:rFonts w:hint="eastAsia"/>
        </w:rPr>
      </w:pPr>
      <w:r>
        <w:t>Итог преподавателя раскрывается до строк исходных связок и использованных сумм контрактов/нагрузки.</w:t>
      </w:r>
    </w:p>
    <w:p w14:paraId="266AEA08" w14:textId="77777777" w:rsidR="003957E6" w:rsidRDefault="008E24E4">
      <w:pPr>
        <w:pStyle w:val="a0"/>
        <w:rPr>
          <w:rFonts w:hint="eastAsia"/>
        </w:rPr>
      </w:pPr>
      <w:r>
        <w:t>Ошибки и неполные данные выявляются и выводятся пользователю до финализации расчёта.</w:t>
      </w:r>
    </w:p>
    <w:p w14:paraId="6EA0F3D8" w14:textId="77777777" w:rsidR="003957E6" w:rsidRDefault="008E24E4">
      <w:pPr>
        <w:pStyle w:val="a0"/>
        <w:rPr>
          <w:rFonts w:hint="eastAsia"/>
        </w:rPr>
      </w:pPr>
      <w:r>
        <w:t>Повторная загрузка одних и тех же данных не приводит к неконтролируемому дублированию.</w:t>
      </w:r>
    </w:p>
    <w:p w14:paraId="2FB7957D" w14:textId="77777777" w:rsidR="003957E6" w:rsidRDefault="008E24E4">
      <w:pPr>
        <w:pStyle w:val="a0"/>
        <w:rPr>
          <w:rFonts w:hint="eastAsia"/>
        </w:rPr>
      </w:pPr>
      <w:r>
        <w:t>Зафиксированный расчётный период может быть повторно открыт и проверен после изменения текущих данных в источниках.</w:t>
      </w:r>
    </w:p>
    <w:p w14:paraId="30EEA52B" w14:textId="77777777" w:rsidR="003957E6" w:rsidRDefault="008E24E4">
      <w:pPr>
        <w:pStyle w:val="a0"/>
        <w:rPr>
          <w:rFonts w:hint="eastAsia"/>
        </w:rPr>
      </w:pPr>
      <w:r>
        <w:t>Ролевая модель ограничивает доступ к зарплатным данным.</w:t>
      </w:r>
    </w:p>
    <w:p w14:paraId="4E432468" w14:textId="77777777" w:rsidR="003957E6" w:rsidRDefault="008E24E4">
      <w:pPr>
        <w:pStyle w:val="a0"/>
        <w:rPr>
          <w:rFonts w:hint="eastAsia"/>
        </w:rPr>
      </w:pPr>
      <w:r>
        <w:t>Резервное копирование и восстановление проходят контрольную проверку.</w:t>
      </w:r>
    </w:p>
    <w:p w14:paraId="00D8960F" w14:textId="77777777" w:rsidR="003957E6" w:rsidRDefault="008E24E4">
      <w:pPr>
        <w:pStyle w:val="a0"/>
        <w:rPr>
          <w:rFonts w:hint="eastAsia"/>
        </w:rPr>
      </w:pPr>
      <w:r>
        <w:t>Заказчику переданы исходные коды/конфигурации, инструкции развёртывания и сопровождения, описание интеграций и правил расчёта.</w:t>
      </w:r>
    </w:p>
    <w:p w14:paraId="10015C9F" w14:textId="77777777" w:rsidR="003957E6" w:rsidRDefault="008E24E4">
      <w:pPr>
        <w:pStyle w:val="1"/>
      </w:pPr>
      <w:r>
        <w:t>15. Требования к предложению участника тендера</w:t>
      </w:r>
    </w:p>
    <w:p w14:paraId="1F4B08D2" w14:textId="77777777" w:rsidR="003957E6" w:rsidRDefault="008E24E4">
      <w:pPr>
        <w:rPr>
          <w:rFonts w:hint="eastAsia"/>
        </w:rPr>
      </w:pPr>
      <w:r>
        <w:t>Для сопоставимости предложений участник должен представить ответ в следующей структуре: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2520"/>
        <w:gridCol w:w="7416"/>
      </w:tblGrid>
      <w:tr w:rsidR="003957E6" w14:paraId="2D055C68" w14:textId="77777777">
        <w:trPr>
          <w:cantSplit/>
          <w:tblHeader/>
          <w:jc w:val="center"/>
        </w:trPr>
        <w:tc>
          <w:tcPr>
            <w:tcW w:w="2520" w:type="dxa"/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C9E2317" w14:textId="77777777" w:rsidR="003957E6" w:rsidRDefault="008E24E4">
            <w:pPr>
              <w:rPr>
                <w:rFonts w:hint="eastAsia"/>
              </w:rPr>
            </w:pPr>
            <w:r>
              <w:rPr>
                <w:b/>
                <w:color w:val="FFFFFF"/>
                <w:sz w:val="19"/>
              </w:rPr>
              <w:t>Раздел предложения</w:t>
            </w:r>
          </w:p>
        </w:tc>
        <w:tc>
          <w:tcPr>
            <w:tcW w:w="7416" w:type="dxa"/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9B4ED6D" w14:textId="77777777" w:rsidR="003957E6" w:rsidRDefault="008E24E4">
            <w:pPr>
              <w:rPr>
                <w:rFonts w:hint="eastAsia"/>
              </w:rPr>
            </w:pPr>
            <w:r>
              <w:rPr>
                <w:b/>
                <w:color w:val="FFFFFF"/>
                <w:sz w:val="19"/>
              </w:rPr>
              <w:t>Что требуется указать</w:t>
            </w:r>
          </w:p>
        </w:tc>
      </w:tr>
      <w:tr w:rsidR="003957E6" w14:paraId="3243D8C5" w14:textId="77777777">
        <w:trPr>
          <w:cantSplit/>
          <w:jc w:val="center"/>
        </w:trPr>
        <w:tc>
          <w:tcPr>
            <w:tcW w:w="252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1B6CFEF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Архитектура</w:t>
            </w:r>
          </w:p>
        </w:tc>
        <w:tc>
          <w:tcPr>
            <w:tcW w:w="741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D53C89C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Компоненты, платформа, схема размещения, границы систем, где хранятся первичные/расчётные данные.</w:t>
            </w:r>
          </w:p>
        </w:tc>
      </w:tr>
      <w:tr w:rsidR="003957E6" w14:paraId="03AF45E1" w14:textId="77777777">
        <w:trPr>
          <w:cantSplit/>
          <w:jc w:val="center"/>
        </w:trPr>
        <w:tc>
          <w:tcPr>
            <w:tcW w:w="252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FDFDE12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Вариант на 1С</w:t>
            </w:r>
          </w:p>
        </w:tc>
        <w:tc>
          <w:tcPr>
            <w:tcW w:w="741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A5756F1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Даже если основное предложение выполнено на другой платформе, желательно отдельно указать возможность/нецелесообразность реализации на 1С и ориентировочные последствия по стоимости и сопровождению.</w:t>
            </w:r>
          </w:p>
        </w:tc>
      </w:tr>
      <w:tr w:rsidR="003957E6" w14:paraId="3F96BD0E" w14:textId="77777777">
        <w:trPr>
          <w:cantSplit/>
          <w:jc w:val="center"/>
        </w:trPr>
        <w:tc>
          <w:tcPr>
            <w:tcW w:w="252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618729F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lastRenderedPageBreak/>
              <w:t>Интеграции</w:t>
            </w:r>
          </w:p>
        </w:tc>
        <w:tc>
          <w:tcPr>
            <w:tcW w:w="741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2F22C35" w14:textId="77777777" w:rsidR="003957E6" w:rsidRDefault="008E24E4">
            <w:pPr>
              <w:rPr>
                <w:rFonts w:hint="eastAsia"/>
              </w:rPr>
            </w:pPr>
            <w:r>
              <w:t>Метод обмена с двумя 1С:ЗУП, пятью аккаунтами EduPage и CRM Bitrix24; частота; обработка ошибок.</w:t>
            </w:r>
          </w:p>
        </w:tc>
      </w:tr>
      <w:tr w:rsidR="003957E6" w14:paraId="5E7FE3E6" w14:textId="77777777">
        <w:trPr>
          <w:cantSplit/>
          <w:jc w:val="center"/>
        </w:trPr>
        <w:tc>
          <w:tcPr>
            <w:tcW w:w="252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4DF86B9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Лицензии</w:t>
            </w:r>
          </w:p>
        </w:tc>
        <w:tc>
          <w:tcPr>
            <w:tcW w:w="741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E40295E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Все разовые и периодические лицензии/подписки, серверные компоненты, клиентские лицензии.</w:t>
            </w:r>
          </w:p>
        </w:tc>
      </w:tr>
      <w:tr w:rsidR="003957E6" w14:paraId="05EB64E5" w14:textId="77777777">
        <w:trPr>
          <w:cantSplit/>
          <w:jc w:val="center"/>
        </w:trPr>
        <w:tc>
          <w:tcPr>
            <w:tcW w:w="252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B56C5D8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Стоимость</w:t>
            </w:r>
          </w:p>
        </w:tc>
        <w:tc>
          <w:tcPr>
            <w:tcW w:w="741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AF0E0C2" w14:textId="77777777" w:rsidR="003957E6" w:rsidRDefault="008E24E4">
            <w:pPr>
              <w:rPr>
                <w:rFonts w:hint="eastAsia"/>
              </w:rPr>
            </w:pPr>
            <w:r>
              <w:t>Отдельно: обследование, разработка, интеграции, лицензии, внедрение и обучение.</w:t>
            </w:r>
          </w:p>
        </w:tc>
      </w:tr>
      <w:tr w:rsidR="003957E6" w14:paraId="22352D95" w14:textId="77777777">
        <w:trPr>
          <w:cantSplit/>
          <w:jc w:val="center"/>
        </w:trPr>
        <w:tc>
          <w:tcPr>
            <w:tcW w:w="252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28A66C1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Сроки</w:t>
            </w:r>
          </w:p>
        </w:tc>
        <w:tc>
          <w:tcPr>
            <w:tcW w:w="741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294D17C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Календарная оценка по этапам и зависимости со стороны заказчика.</w:t>
            </w:r>
          </w:p>
        </w:tc>
      </w:tr>
      <w:tr w:rsidR="003957E6" w14:paraId="1E533A06" w14:textId="77777777">
        <w:trPr>
          <w:cantSplit/>
          <w:jc w:val="center"/>
        </w:trPr>
        <w:tc>
          <w:tcPr>
            <w:tcW w:w="252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D22750F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Команда</w:t>
            </w:r>
          </w:p>
        </w:tc>
        <w:tc>
          <w:tcPr>
            <w:tcW w:w="741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DF1BFAD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Роли и опыт специалистов; релевантные проекты.</w:t>
            </w:r>
          </w:p>
        </w:tc>
      </w:tr>
      <w:tr w:rsidR="003957E6" w14:paraId="516AD851" w14:textId="77777777">
        <w:trPr>
          <w:cantSplit/>
          <w:jc w:val="center"/>
        </w:trPr>
        <w:tc>
          <w:tcPr>
            <w:tcW w:w="252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9E5BA6A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Права и передача</w:t>
            </w:r>
          </w:p>
        </w:tc>
        <w:tc>
          <w:tcPr>
            <w:tcW w:w="741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D2D6439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Кому принадлежат исходные коды; возможность сопровождения третьей стороной; перечень передаваемой документации.</w:t>
            </w:r>
          </w:p>
        </w:tc>
      </w:tr>
      <w:tr w:rsidR="003957E6" w14:paraId="5D7F7632" w14:textId="77777777">
        <w:trPr>
          <w:cantSplit/>
          <w:jc w:val="center"/>
        </w:trPr>
        <w:tc>
          <w:tcPr>
            <w:tcW w:w="252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AF96DC7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Риски и допущения</w:t>
            </w:r>
          </w:p>
        </w:tc>
        <w:tc>
          <w:tcPr>
            <w:tcW w:w="741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DF5104F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Перечень неизвестных, ограничений API, требований к данным и решений, которые должны быть приняты на обследовании.</w:t>
            </w:r>
          </w:p>
        </w:tc>
      </w:tr>
    </w:tbl>
    <w:p w14:paraId="7DE651A6" w14:textId="77777777" w:rsidR="003957E6" w:rsidRDefault="003957E6">
      <w:pPr>
        <w:spacing w:after="20"/>
        <w:rPr>
          <w:rFonts w:hint="eastAsia"/>
        </w:rPr>
      </w:pPr>
    </w:p>
    <w:p w14:paraId="07D74651" w14:textId="77777777" w:rsidR="003957E6" w:rsidRDefault="008E24E4">
      <w:pPr>
        <w:pStyle w:val="21"/>
      </w:pPr>
      <w:r>
        <w:t>15.1. Рекомендуемая форма ценового предложения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016"/>
        <w:gridCol w:w="2448"/>
        <w:gridCol w:w="2880"/>
      </w:tblGrid>
      <w:tr w:rsidR="003957E6" w14:paraId="4D40CE94" w14:textId="77777777">
        <w:trPr>
          <w:cantSplit/>
          <w:tblHeader/>
          <w:jc w:val="center"/>
        </w:trPr>
        <w:tc>
          <w:tcPr>
            <w:tcW w:w="2880" w:type="dxa"/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8B15263" w14:textId="77777777" w:rsidR="003957E6" w:rsidRDefault="008E24E4">
            <w:pPr>
              <w:rPr>
                <w:rFonts w:hint="eastAsia"/>
              </w:rPr>
            </w:pPr>
            <w:r>
              <w:rPr>
                <w:b/>
                <w:color w:val="FFFFFF"/>
                <w:sz w:val="19"/>
              </w:rPr>
              <w:t>Позиция</w:t>
            </w:r>
          </w:p>
        </w:tc>
        <w:tc>
          <w:tcPr>
            <w:tcW w:w="2016" w:type="dxa"/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5B28C4F" w14:textId="77777777" w:rsidR="003957E6" w:rsidRDefault="008E24E4">
            <w:pPr>
              <w:rPr>
                <w:rFonts w:hint="eastAsia"/>
              </w:rPr>
            </w:pPr>
            <w:r>
              <w:rPr>
                <w:b/>
                <w:color w:val="FFFFFF"/>
                <w:sz w:val="19"/>
              </w:rPr>
              <w:t>Разовая стоимость</w:t>
            </w:r>
          </w:p>
        </w:tc>
        <w:tc>
          <w:tcPr>
            <w:tcW w:w="2448" w:type="dxa"/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DBDA590" w14:textId="77777777" w:rsidR="003957E6" w:rsidRDefault="008E24E4">
            <w:pPr>
              <w:rPr>
                <w:rFonts w:hint="eastAsia"/>
              </w:rPr>
            </w:pPr>
            <w:r>
              <w:rPr>
                <w:b/>
                <w:color w:val="FFFFFF"/>
                <w:sz w:val="19"/>
              </w:rPr>
              <w:t>Ежегодная/регулярная стоимость</w:t>
            </w:r>
          </w:p>
        </w:tc>
        <w:tc>
          <w:tcPr>
            <w:tcW w:w="2880" w:type="dxa"/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F8570AF" w14:textId="77777777" w:rsidR="003957E6" w:rsidRDefault="008E24E4">
            <w:pPr>
              <w:rPr>
                <w:rFonts w:hint="eastAsia"/>
              </w:rPr>
            </w:pPr>
            <w:r>
              <w:rPr>
                <w:b/>
                <w:color w:val="FFFFFF"/>
                <w:sz w:val="19"/>
              </w:rPr>
              <w:t>Комментарий</w:t>
            </w:r>
          </w:p>
        </w:tc>
      </w:tr>
      <w:tr w:rsidR="003957E6" w14:paraId="5163A732" w14:textId="77777777">
        <w:trPr>
          <w:cantSplit/>
          <w:jc w:val="center"/>
        </w:trPr>
        <w:tc>
          <w:tcPr>
            <w:tcW w:w="288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A41D7E9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Предпроектное обследование</w:t>
            </w:r>
          </w:p>
        </w:tc>
        <w:tc>
          <w:tcPr>
            <w:tcW w:w="201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B04DECF" w14:textId="77777777" w:rsidR="003957E6" w:rsidRDefault="003957E6">
            <w:pPr>
              <w:spacing w:after="0"/>
              <w:rPr>
                <w:rFonts w:hint="eastAsia"/>
              </w:rPr>
            </w:pPr>
          </w:p>
        </w:tc>
        <w:tc>
          <w:tcPr>
            <w:tcW w:w="244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4E48AE1" w14:textId="77777777" w:rsidR="003957E6" w:rsidRDefault="003957E6">
            <w:pPr>
              <w:spacing w:after="0"/>
              <w:rPr>
                <w:rFonts w:hint="eastAsia"/>
              </w:rPr>
            </w:pPr>
          </w:p>
        </w:tc>
        <w:tc>
          <w:tcPr>
            <w:tcW w:w="288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EB0D838" w14:textId="77777777" w:rsidR="003957E6" w:rsidRDefault="003957E6">
            <w:pPr>
              <w:spacing w:after="0"/>
              <w:rPr>
                <w:rFonts w:hint="eastAsia"/>
              </w:rPr>
            </w:pPr>
          </w:p>
        </w:tc>
      </w:tr>
      <w:tr w:rsidR="003957E6" w14:paraId="11CA471F" w14:textId="77777777">
        <w:trPr>
          <w:cantSplit/>
          <w:jc w:val="center"/>
        </w:trPr>
        <w:tc>
          <w:tcPr>
            <w:tcW w:w="288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712149C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Лицензии 1С / иные лицензии</w:t>
            </w:r>
          </w:p>
        </w:tc>
        <w:tc>
          <w:tcPr>
            <w:tcW w:w="201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BAD90A6" w14:textId="77777777" w:rsidR="003957E6" w:rsidRDefault="003957E6">
            <w:pPr>
              <w:spacing w:after="0"/>
              <w:rPr>
                <w:rFonts w:hint="eastAsia"/>
              </w:rPr>
            </w:pPr>
          </w:p>
        </w:tc>
        <w:tc>
          <w:tcPr>
            <w:tcW w:w="244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C92DA0B" w14:textId="77777777" w:rsidR="003957E6" w:rsidRDefault="003957E6">
            <w:pPr>
              <w:spacing w:after="0"/>
              <w:rPr>
                <w:rFonts w:hint="eastAsia"/>
              </w:rPr>
            </w:pPr>
          </w:p>
        </w:tc>
        <w:tc>
          <w:tcPr>
            <w:tcW w:w="288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8C39224" w14:textId="77777777" w:rsidR="003957E6" w:rsidRDefault="003957E6">
            <w:pPr>
              <w:spacing w:after="0"/>
              <w:rPr>
                <w:rFonts w:hint="eastAsia"/>
              </w:rPr>
            </w:pPr>
          </w:p>
        </w:tc>
      </w:tr>
      <w:tr w:rsidR="003957E6" w14:paraId="5451C4CF" w14:textId="77777777">
        <w:trPr>
          <w:cantSplit/>
          <w:jc w:val="center"/>
        </w:trPr>
        <w:tc>
          <w:tcPr>
            <w:tcW w:w="288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8173426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Разработка расчётного ядра</w:t>
            </w:r>
          </w:p>
        </w:tc>
        <w:tc>
          <w:tcPr>
            <w:tcW w:w="201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D385F02" w14:textId="77777777" w:rsidR="003957E6" w:rsidRDefault="003957E6">
            <w:pPr>
              <w:spacing w:after="0"/>
              <w:rPr>
                <w:rFonts w:hint="eastAsia"/>
              </w:rPr>
            </w:pPr>
          </w:p>
        </w:tc>
        <w:tc>
          <w:tcPr>
            <w:tcW w:w="244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6A1BB54" w14:textId="77777777" w:rsidR="003957E6" w:rsidRDefault="003957E6">
            <w:pPr>
              <w:spacing w:after="0"/>
              <w:rPr>
                <w:rFonts w:hint="eastAsia"/>
              </w:rPr>
            </w:pPr>
          </w:p>
        </w:tc>
        <w:tc>
          <w:tcPr>
            <w:tcW w:w="288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59C32B4" w14:textId="77777777" w:rsidR="003957E6" w:rsidRDefault="003957E6">
            <w:pPr>
              <w:spacing w:after="0"/>
              <w:rPr>
                <w:rFonts w:hint="eastAsia"/>
              </w:rPr>
            </w:pPr>
          </w:p>
        </w:tc>
      </w:tr>
      <w:tr w:rsidR="003957E6" w14:paraId="4789EC13" w14:textId="77777777">
        <w:trPr>
          <w:cantSplit/>
          <w:jc w:val="center"/>
        </w:trPr>
        <w:tc>
          <w:tcPr>
            <w:tcW w:w="288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FF8137C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Интеграция с 1С:ЗУП</w:t>
            </w:r>
          </w:p>
        </w:tc>
        <w:tc>
          <w:tcPr>
            <w:tcW w:w="201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B107787" w14:textId="77777777" w:rsidR="003957E6" w:rsidRDefault="003957E6">
            <w:pPr>
              <w:spacing w:after="0"/>
              <w:rPr>
                <w:rFonts w:hint="eastAsia"/>
              </w:rPr>
            </w:pPr>
          </w:p>
        </w:tc>
        <w:tc>
          <w:tcPr>
            <w:tcW w:w="244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1C65D12" w14:textId="77777777" w:rsidR="003957E6" w:rsidRDefault="003957E6">
            <w:pPr>
              <w:spacing w:after="0"/>
              <w:rPr>
                <w:rFonts w:hint="eastAsia"/>
              </w:rPr>
            </w:pPr>
          </w:p>
        </w:tc>
        <w:tc>
          <w:tcPr>
            <w:tcW w:w="288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1ED4C03" w14:textId="77777777" w:rsidR="003957E6" w:rsidRDefault="003957E6">
            <w:pPr>
              <w:spacing w:after="0"/>
              <w:rPr>
                <w:rFonts w:hint="eastAsia"/>
              </w:rPr>
            </w:pPr>
          </w:p>
        </w:tc>
      </w:tr>
      <w:tr w:rsidR="003957E6" w14:paraId="7FA25B68" w14:textId="77777777">
        <w:trPr>
          <w:cantSplit/>
          <w:jc w:val="center"/>
        </w:trPr>
        <w:tc>
          <w:tcPr>
            <w:tcW w:w="288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1327EB4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Интеграция с EduPage</w:t>
            </w:r>
          </w:p>
        </w:tc>
        <w:tc>
          <w:tcPr>
            <w:tcW w:w="201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9338526" w14:textId="77777777" w:rsidR="003957E6" w:rsidRDefault="003957E6">
            <w:pPr>
              <w:spacing w:after="0"/>
              <w:rPr>
                <w:rFonts w:hint="eastAsia"/>
              </w:rPr>
            </w:pPr>
          </w:p>
        </w:tc>
        <w:tc>
          <w:tcPr>
            <w:tcW w:w="244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887E0C4" w14:textId="77777777" w:rsidR="003957E6" w:rsidRDefault="003957E6">
            <w:pPr>
              <w:spacing w:after="0"/>
              <w:rPr>
                <w:rFonts w:hint="eastAsia"/>
              </w:rPr>
            </w:pPr>
          </w:p>
        </w:tc>
        <w:tc>
          <w:tcPr>
            <w:tcW w:w="288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FC6907F" w14:textId="77777777" w:rsidR="003957E6" w:rsidRDefault="003957E6">
            <w:pPr>
              <w:spacing w:after="0"/>
              <w:rPr>
                <w:rFonts w:hint="eastAsia"/>
              </w:rPr>
            </w:pPr>
          </w:p>
        </w:tc>
      </w:tr>
      <w:tr w:rsidR="003957E6" w14:paraId="7D56A8E9" w14:textId="77777777">
        <w:trPr>
          <w:cantSplit/>
          <w:jc w:val="center"/>
        </w:trPr>
        <w:tc>
          <w:tcPr>
            <w:tcW w:w="288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299ADFA" w14:textId="77777777" w:rsidR="003957E6" w:rsidRDefault="008E24E4">
            <w:pPr>
              <w:rPr>
                <w:rFonts w:hint="eastAsia"/>
              </w:rPr>
            </w:pPr>
            <w:r>
              <w:t>Интеграция с Bitrix24</w:t>
            </w:r>
          </w:p>
        </w:tc>
        <w:tc>
          <w:tcPr>
            <w:tcW w:w="201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CB419C7" w14:textId="77777777" w:rsidR="003957E6" w:rsidRDefault="003957E6">
            <w:pPr>
              <w:spacing w:after="0"/>
              <w:rPr>
                <w:rFonts w:hint="eastAsia"/>
              </w:rPr>
            </w:pPr>
          </w:p>
        </w:tc>
        <w:tc>
          <w:tcPr>
            <w:tcW w:w="244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44DA57D" w14:textId="77777777" w:rsidR="003957E6" w:rsidRDefault="003957E6">
            <w:pPr>
              <w:spacing w:after="0"/>
              <w:rPr>
                <w:rFonts w:hint="eastAsia"/>
              </w:rPr>
            </w:pPr>
          </w:p>
        </w:tc>
        <w:tc>
          <w:tcPr>
            <w:tcW w:w="288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1D256C0" w14:textId="77777777" w:rsidR="003957E6" w:rsidRDefault="003957E6">
            <w:pPr>
              <w:spacing w:after="0"/>
              <w:rPr>
                <w:rFonts w:hint="eastAsia"/>
              </w:rPr>
            </w:pPr>
          </w:p>
        </w:tc>
      </w:tr>
      <w:tr w:rsidR="003957E6" w14:paraId="4A8E3D08" w14:textId="77777777">
        <w:trPr>
          <w:cantSplit/>
          <w:jc w:val="center"/>
        </w:trPr>
        <w:tc>
          <w:tcPr>
            <w:tcW w:w="288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09AF673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Интерфейс и отчётность</w:t>
            </w:r>
          </w:p>
        </w:tc>
        <w:tc>
          <w:tcPr>
            <w:tcW w:w="201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3ED514C" w14:textId="77777777" w:rsidR="003957E6" w:rsidRDefault="003957E6">
            <w:pPr>
              <w:spacing w:after="0"/>
              <w:rPr>
                <w:rFonts w:hint="eastAsia"/>
              </w:rPr>
            </w:pPr>
          </w:p>
        </w:tc>
        <w:tc>
          <w:tcPr>
            <w:tcW w:w="244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254C14D" w14:textId="77777777" w:rsidR="003957E6" w:rsidRDefault="003957E6">
            <w:pPr>
              <w:spacing w:after="0"/>
              <w:rPr>
                <w:rFonts w:hint="eastAsia"/>
              </w:rPr>
            </w:pPr>
          </w:p>
        </w:tc>
        <w:tc>
          <w:tcPr>
            <w:tcW w:w="288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8889379" w14:textId="77777777" w:rsidR="003957E6" w:rsidRDefault="003957E6">
            <w:pPr>
              <w:spacing w:after="0"/>
              <w:rPr>
                <w:rFonts w:hint="eastAsia"/>
              </w:rPr>
            </w:pPr>
          </w:p>
        </w:tc>
      </w:tr>
      <w:tr w:rsidR="003957E6" w14:paraId="5D0F8304" w14:textId="77777777">
        <w:trPr>
          <w:cantSplit/>
          <w:jc w:val="center"/>
        </w:trPr>
        <w:tc>
          <w:tcPr>
            <w:tcW w:w="288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DC83EF6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Ввод в эксплуатацию и обучение</w:t>
            </w:r>
          </w:p>
        </w:tc>
        <w:tc>
          <w:tcPr>
            <w:tcW w:w="201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6244228" w14:textId="77777777" w:rsidR="003957E6" w:rsidRDefault="003957E6">
            <w:pPr>
              <w:spacing w:after="0"/>
              <w:rPr>
                <w:rFonts w:hint="eastAsia"/>
              </w:rPr>
            </w:pPr>
          </w:p>
        </w:tc>
        <w:tc>
          <w:tcPr>
            <w:tcW w:w="244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80AA365" w14:textId="77777777" w:rsidR="003957E6" w:rsidRDefault="003957E6">
            <w:pPr>
              <w:spacing w:after="0"/>
              <w:rPr>
                <w:rFonts w:hint="eastAsia"/>
              </w:rPr>
            </w:pPr>
          </w:p>
        </w:tc>
        <w:tc>
          <w:tcPr>
            <w:tcW w:w="288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B2B0946" w14:textId="77777777" w:rsidR="003957E6" w:rsidRDefault="003957E6">
            <w:pPr>
              <w:spacing w:after="0"/>
              <w:rPr>
                <w:rFonts w:hint="eastAsia"/>
              </w:rPr>
            </w:pPr>
          </w:p>
        </w:tc>
      </w:tr>
    </w:tbl>
    <w:p w14:paraId="37222052" w14:textId="77777777" w:rsidR="003957E6" w:rsidRDefault="003957E6">
      <w:pPr>
        <w:spacing w:after="20"/>
        <w:rPr>
          <w:rFonts w:hint="eastAsia"/>
        </w:rPr>
      </w:pPr>
    </w:p>
    <w:p w14:paraId="333ECAE6" w14:textId="77777777" w:rsidR="003957E6" w:rsidRDefault="008E24E4">
      <w:pPr>
        <w:pStyle w:val="1"/>
      </w:pPr>
      <w:r>
        <w:t>16. Критерии оценки архитектурных предложений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7056"/>
      </w:tblGrid>
      <w:tr w:rsidR="003957E6" w14:paraId="68DA3969" w14:textId="77777777">
        <w:trPr>
          <w:cantSplit/>
          <w:tblHeader/>
          <w:jc w:val="center"/>
        </w:trPr>
        <w:tc>
          <w:tcPr>
            <w:tcW w:w="2880" w:type="dxa"/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AFA9C9E" w14:textId="77777777" w:rsidR="003957E6" w:rsidRDefault="008E24E4">
            <w:pPr>
              <w:rPr>
                <w:rFonts w:hint="eastAsia"/>
              </w:rPr>
            </w:pPr>
            <w:r>
              <w:rPr>
                <w:b/>
                <w:color w:val="FFFFFF"/>
                <w:sz w:val="19"/>
              </w:rPr>
              <w:t>Критерий</w:t>
            </w:r>
          </w:p>
        </w:tc>
        <w:tc>
          <w:tcPr>
            <w:tcW w:w="7056" w:type="dxa"/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B5722AE" w14:textId="77777777" w:rsidR="003957E6" w:rsidRDefault="008E24E4">
            <w:pPr>
              <w:rPr>
                <w:rFonts w:hint="eastAsia"/>
              </w:rPr>
            </w:pPr>
            <w:r>
              <w:rPr>
                <w:b/>
                <w:color w:val="FFFFFF"/>
                <w:sz w:val="19"/>
              </w:rPr>
              <w:t>Содержание оценки</w:t>
            </w:r>
          </w:p>
        </w:tc>
      </w:tr>
      <w:tr w:rsidR="003957E6" w14:paraId="3D68C1F3" w14:textId="77777777">
        <w:trPr>
          <w:cantSplit/>
          <w:jc w:val="center"/>
        </w:trPr>
        <w:tc>
          <w:tcPr>
            <w:tcW w:w="288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6D966EF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Функциональное соответствие</w:t>
            </w:r>
          </w:p>
        </w:tc>
        <w:tc>
          <w:tcPr>
            <w:tcW w:w="705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D4EA6FB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Полнота выполнения расчётной модели, истории, контроля качества и отчётности.</w:t>
            </w:r>
          </w:p>
        </w:tc>
      </w:tr>
      <w:tr w:rsidR="003957E6" w14:paraId="07DEEC68" w14:textId="77777777">
        <w:trPr>
          <w:cantSplit/>
          <w:jc w:val="center"/>
        </w:trPr>
        <w:tc>
          <w:tcPr>
            <w:tcW w:w="288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6E56E27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Интеграционная надёжность</w:t>
            </w:r>
          </w:p>
        </w:tc>
        <w:tc>
          <w:tcPr>
            <w:tcW w:w="705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ABFB711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Устойчивость обменов, повторяемость, восстановление после ошибок, работа с несколькими источниками.</w:t>
            </w:r>
          </w:p>
        </w:tc>
      </w:tr>
      <w:tr w:rsidR="003957E6" w14:paraId="38EE5F80" w14:textId="77777777">
        <w:trPr>
          <w:cantSplit/>
          <w:jc w:val="center"/>
        </w:trPr>
        <w:tc>
          <w:tcPr>
            <w:tcW w:w="288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E201479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lastRenderedPageBreak/>
              <w:t>Совокупная стоимость владения</w:t>
            </w:r>
          </w:p>
        </w:tc>
        <w:tc>
          <w:tcPr>
            <w:tcW w:w="705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FBE0C64" w14:textId="77777777" w:rsidR="003957E6" w:rsidRDefault="008E24E4">
            <w:pPr>
              <w:rPr>
                <w:rFonts w:hint="eastAsia"/>
              </w:rPr>
            </w:pPr>
            <w:r>
              <w:t>Разработка + необходимые лицензии + инфраструктура + обязательные для эксплуатации обновления.</w:t>
            </w:r>
          </w:p>
        </w:tc>
      </w:tr>
      <w:tr w:rsidR="003957E6" w14:paraId="32D0591D" w14:textId="77777777">
        <w:trPr>
          <w:cantSplit/>
          <w:jc w:val="center"/>
        </w:trPr>
        <w:tc>
          <w:tcPr>
            <w:tcW w:w="288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BD27F0D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Сопровождаемость</w:t>
            </w:r>
          </w:p>
        </w:tc>
        <w:tc>
          <w:tcPr>
            <w:tcW w:w="705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560EF7D" w14:textId="77777777" w:rsidR="003957E6" w:rsidRDefault="008E24E4">
            <w:pPr>
              <w:rPr>
                <w:rFonts w:hint="eastAsia"/>
              </w:rPr>
            </w:pPr>
            <w:r>
              <w:t>Документированность, передаваемый исходный код, наличие специалистов на рынке.</w:t>
            </w:r>
          </w:p>
        </w:tc>
      </w:tr>
      <w:tr w:rsidR="003957E6" w14:paraId="7839FBF7" w14:textId="77777777">
        <w:trPr>
          <w:cantSplit/>
          <w:jc w:val="center"/>
        </w:trPr>
        <w:tc>
          <w:tcPr>
            <w:tcW w:w="288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DF78B0B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Безопасность</w:t>
            </w:r>
          </w:p>
        </w:tc>
        <w:tc>
          <w:tcPr>
            <w:tcW w:w="705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C9E1936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Защита персональных и зарплатных данных, права доступа, аудит и резервирование.</w:t>
            </w:r>
          </w:p>
        </w:tc>
      </w:tr>
      <w:tr w:rsidR="003957E6" w14:paraId="050DE780" w14:textId="77777777">
        <w:trPr>
          <w:cantSplit/>
          <w:jc w:val="center"/>
        </w:trPr>
        <w:tc>
          <w:tcPr>
            <w:tcW w:w="288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3841A48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Срок внедрения и риски</w:t>
            </w:r>
          </w:p>
        </w:tc>
        <w:tc>
          <w:tcPr>
            <w:tcW w:w="705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DF1170B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Реалистичность плана, объём доработок типовых систем, зависимость от API и качества данных.</w:t>
            </w:r>
          </w:p>
        </w:tc>
      </w:tr>
    </w:tbl>
    <w:p w14:paraId="0176DF90" w14:textId="77777777" w:rsidR="003957E6" w:rsidRDefault="003957E6">
      <w:pPr>
        <w:spacing w:after="20"/>
        <w:rPr>
          <w:rFonts w:hint="eastAsia"/>
        </w:rPr>
      </w:pPr>
    </w:p>
    <w:p w14:paraId="486B446B" w14:textId="77777777" w:rsidR="003957E6" w:rsidRDefault="008E24E4">
      <w:pPr>
        <w:pStyle w:val="1"/>
      </w:pPr>
      <w:r>
        <w:t>Приложение А. Минимальный пример ожидаемого расчёта</w:t>
      </w:r>
    </w:p>
    <w:p w14:paraId="562CA40C" w14:textId="77777777" w:rsidR="003957E6" w:rsidRDefault="008E24E4">
      <w:pPr>
        <w:rPr>
          <w:rFonts w:hint="eastAsia"/>
        </w:rPr>
      </w:pPr>
      <w:r>
        <w:t>Ниже приведены исключительно иллюстративные обезличенные значения. Они не являются контрольными данными для приёмки.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1906"/>
        <w:gridCol w:w="1114"/>
        <w:gridCol w:w="1911"/>
        <w:gridCol w:w="1345"/>
        <w:gridCol w:w="1486"/>
        <w:gridCol w:w="925"/>
        <w:gridCol w:w="1613"/>
      </w:tblGrid>
      <w:tr w:rsidR="003957E6" w14:paraId="7B7B3E35" w14:textId="77777777">
        <w:trPr>
          <w:cantSplit/>
          <w:tblHeader/>
          <w:jc w:val="center"/>
        </w:trPr>
        <w:tc>
          <w:tcPr>
            <w:tcW w:w="1944" w:type="dxa"/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99E4A3D" w14:textId="77777777" w:rsidR="003957E6" w:rsidRDefault="008E24E4">
            <w:pPr>
              <w:rPr>
                <w:rFonts w:hint="eastAsia"/>
              </w:rPr>
            </w:pPr>
            <w:r>
              <w:rPr>
                <w:b/>
                <w:color w:val="FFFFFF"/>
                <w:sz w:val="19"/>
              </w:rPr>
              <w:t>Класс / предмет</w:t>
            </w:r>
          </w:p>
        </w:tc>
        <w:tc>
          <w:tcPr>
            <w:tcW w:w="936" w:type="dxa"/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892AC87" w14:textId="77777777" w:rsidR="003957E6" w:rsidRDefault="008E24E4">
            <w:pPr>
              <w:rPr>
                <w:rFonts w:hint="eastAsia"/>
              </w:rPr>
            </w:pPr>
            <w:r>
              <w:rPr>
                <w:b/>
                <w:color w:val="FFFFFF"/>
                <w:sz w:val="19"/>
              </w:rPr>
              <w:t>Учеников</w:t>
            </w:r>
          </w:p>
        </w:tc>
        <w:tc>
          <w:tcPr>
            <w:tcW w:w="1944" w:type="dxa"/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DF16A85" w14:textId="77777777" w:rsidR="003957E6" w:rsidRDefault="008E24E4">
            <w:pPr>
              <w:rPr>
                <w:rFonts w:hint="eastAsia"/>
              </w:rPr>
            </w:pPr>
            <w:r>
              <w:rPr>
                <w:b/>
                <w:color w:val="FFFFFF"/>
                <w:sz w:val="19"/>
              </w:rPr>
              <w:t>Сумма контрактов, ₽</w:t>
            </w:r>
          </w:p>
        </w:tc>
        <w:tc>
          <w:tcPr>
            <w:tcW w:w="1152" w:type="dxa"/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19041FD" w14:textId="77777777" w:rsidR="003957E6" w:rsidRDefault="008E24E4">
            <w:pPr>
              <w:rPr>
                <w:rFonts w:hint="eastAsia"/>
              </w:rPr>
            </w:pPr>
            <w:r>
              <w:rPr>
                <w:b/>
                <w:color w:val="FFFFFF"/>
                <w:sz w:val="19"/>
              </w:rPr>
              <w:t>Уроков/нед.</w:t>
            </w:r>
          </w:p>
        </w:tc>
        <w:tc>
          <w:tcPr>
            <w:tcW w:w="1512" w:type="dxa"/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640604C" w14:textId="77777777" w:rsidR="003957E6" w:rsidRDefault="008E24E4">
            <w:pPr>
              <w:rPr>
                <w:rFonts w:hint="eastAsia"/>
              </w:rPr>
            </w:pPr>
            <w:r>
              <w:rPr>
                <w:b/>
                <w:color w:val="FFFFFF"/>
                <w:sz w:val="19"/>
              </w:rPr>
              <w:t>Общая нагрузка</w:t>
            </w:r>
          </w:p>
        </w:tc>
        <w:tc>
          <w:tcPr>
            <w:tcW w:w="936" w:type="dxa"/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EBB3832" w14:textId="77777777" w:rsidR="003957E6" w:rsidRDefault="008E24E4">
            <w:pPr>
              <w:rPr>
                <w:rFonts w:hint="eastAsia"/>
              </w:rPr>
            </w:pPr>
            <w:r>
              <w:rPr>
                <w:b/>
                <w:color w:val="FFFFFF"/>
                <w:sz w:val="19"/>
              </w:rPr>
              <w:t>Доля</w:t>
            </w:r>
          </w:p>
        </w:tc>
        <w:tc>
          <w:tcPr>
            <w:tcW w:w="1656" w:type="dxa"/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F67C847" w14:textId="77777777" w:rsidR="003957E6" w:rsidRDefault="008E24E4">
            <w:pPr>
              <w:rPr>
                <w:rFonts w:hint="eastAsia"/>
              </w:rPr>
            </w:pPr>
            <w:r>
              <w:rPr>
                <w:b/>
                <w:color w:val="FFFFFF"/>
                <w:sz w:val="19"/>
              </w:rPr>
              <w:t>Вклад, ₽</w:t>
            </w:r>
          </w:p>
        </w:tc>
      </w:tr>
      <w:tr w:rsidR="003957E6" w14:paraId="2EBAFA13" w14:textId="77777777">
        <w:trPr>
          <w:cantSplit/>
          <w:jc w:val="center"/>
        </w:trPr>
        <w:tc>
          <w:tcPr>
            <w:tcW w:w="194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20E5F2E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Y10 Mathematics</w:t>
            </w:r>
          </w:p>
        </w:tc>
        <w:tc>
          <w:tcPr>
            <w:tcW w:w="93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C663F27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94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9919409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4 950 000</w:t>
            </w:r>
          </w:p>
        </w:tc>
        <w:tc>
          <w:tcPr>
            <w:tcW w:w="115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0E8E115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51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10FA4DE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93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034A200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27,8%</w:t>
            </w:r>
          </w:p>
        </w:tc>
        <w:tc>
          <w:tcPr>
            <w:tcW w:w="165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E37D389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1 375 000</w:t>
            </w:r>
          </w:p>
        </w:tc>
      </w:tr>
      <w:tr w:rsidR="003957E6" w14:paraId="04BB504E" w14:textId="77777777">
        <w:trPr>
          <w:cantSplit/>
          <w:jc w:val="center"/>
        </w:trPr>
        <w:tc>
          <w:tcPr>
            <w:tcW w:w="194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618736F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Y10 Physics</w:t>
            </w:r>
          </w:p>
        </w:tc>
        <w:tc>
          <w:tcPr>
            <w:tcW w:w="93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3113C93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94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74D7F4F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3 960 000</w:t>
            </w:r>
          </w:p>
        </w:tc>
        <w:tc>
          <w:tcPr>
            <w:tcW w:w="115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319E47A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51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35EE095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93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9DA79D1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22,2%</w:t>
            </w:r>
          </w:p>
        </w:tc>
        <w:tc>
          <w:tcPr>
            <w:tcW w:w="165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D800E90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880 000</w:t>
            </w:r>
          </w:p>
        </w:tc>
      </w:tr>
      <w:tr w:rsidR="003957E6" w14:paraId="6EEE7CB9" w14:textId="77777777">
        <w:trPr>
          <w:cantSplit/>
          <w:jc w:val="center"/>
        </w:trPr>
        <w:tc>
          <w:tcPr>
            <w:tcW w:w="194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1047756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Y11 Mathematics</w:t>
            </w:r>
          </w:p>
        </w:tc>
        <w:tc>
          <w:tcPr>
            <w:tcW w:w="93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362DE28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194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2F17C0C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7 630 000</w:t>
            </w:r>
          </w:p>
        </w:tc>
        <w:tc>
          <w:tcPr>
            <w:tcW w:w="115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530B831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51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91715DA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93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5AE352C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25,0%</w:t>
            </w:r>
          </w:p>
        </w:tc>
        <w:tc>
          <w:tcPr>
            <w:tcW w:w="165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73A9EE5" w14:textId="77777777" w:rsidR="003957E6" w:rsidRDefault="008E24E4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1 907 500</w:t>
            </w:r>
          </w:p>
        </w:tc>
      </w:tr>
    </w:tbl>
    <w:p w14:paraId="4E33B4A0" w14:textId="77777777" w:rsidR="003957E6" w:rsidRDefault="003957E6">
      <w:pPr>
        <w:spacing w:after="20"/>
        <w:rPr>
          <w:rFonts w:hint="eastAsia"/>
        </w:rPr>
      </w:pPr>
    </w:p>
    <w:p w14:paraId="30A53BDD" w14:textId="77777777" w:rsidR="003957E6" w:rsidRDefault="008E24E4">
      <w:pPr>
        <w:rPr>
          <w:rFonts w:hint="eastAsia"/>
        </w:rPr>
      </w:pPr>
      <w:r>
        <w:t>Итоговый вклад преподавателя определяется суммой вкладов по всем строкам, после чего сопоставляется с показателем оплаты труда за тот же расчётный период.</w:t>
      </w:r>
    </w:p>
    <w:p w14:paraId="4DF649AD" w14:textId="77777777" w:rsidR="003957E6" w:rsidRDefault="008E24E4">
      <w:pPr>
        <w:pStyle w:val="1"/>
      </w:pPr>
      <w:r>
        <w:t>Приложение Б. Ожидаемый результат предпроектного обследования</w:t>
      </w:r>
    </w:p>
    <w:p w14:paraId="7C755B1E" w14:textId="77777777" w:rsidR="003957E6" w:rsidRDefault="008E24E4">
      <w:pPr>
        <w:pStyle w:val="a0"/>
        <w:rPr>
          <w:rFonts w:hint="eastAsia"/>
        </w:rPr>
      </w:pPr>
      <w:r>
        <w:t>Перечень API/файлов/регистров и точных полей для каждой интеграции.</w:t>
      </w:r>
    </w:p>
    <w:p w14:paraId="3D3595F8" w14:textId="77777777" w:rsidR="003957E6" w:rsidRDefault="008E24E4">
      <w:pPr>
        <w:pStyle w:val="a0"/>
        <w:rPr>
          <w:rFonts w:hint="eastAsia"/>
        </w:rPr>
      </w:pPr>
      <w:r>
        <w:t>Таблица соответствия сущностей и внешних идентификаторов.</w:t>
      </w:r>
    </w:p>
    <w:p w14:paraId="4BC71F8A" w14:textId="77777777" w:rsidR="003957E6" w:rsidRDefault="008E24E4">
      <w:pPr>
        <w:pStyle w:val="a0"/>
        <w:rPr>
          <w:rFonts w:hint="eastAsia"/>
        </w:rPr>
      </w:pPr>
      <w:r>
        <w:t>Формализованные правила расчётного периода и всех исключительных сценариев раздела 12.</w:t>
      </w:r>
    </w:p>
    <w:p w14:paraId="3111BFCF" w14:textId="77777777" w:rsidR="003957E6" w:rsidRDefault="008E24E4">
      <w:pPr>
        <w:pStyle w:val="a0"/>
        <w:rPr>
          <w:rFonts w:hint="eastAsia"/>
        </w:rPr>
      </w:pPr>
      <w:r>
        <w:t>Согласованный состав показателя оплаты труда.</w:t>
      </w:r>
    </w:p>
    <w:p w14:paraId="10F83767" w14:textId="77777777" w:rsidR="003957E6" w:rsidRDefault="008E24E4">
      <w:pPr>
        <w:pStyle w:val="a0"/>
        <w:rPr>
          <w:rFonts w:hint="eastAsia"/>
        </w:rPr>
      </w:pPr>
      <w:r>
        <w:t>Согласованный прототип сводного и детального отчёта.</w:t>
      </w:r>
    </w:p>
    <w:p w14:paraId="1D721DAC" w14:textId="77777777" w:rsidR="003957E6" w:rsidRDefault="008E24E4">
      <w:pPr>
        <w:pStyle w:val="a0"/>
        <w:rPr>
          <w:rFonts w:hint="eastAsia"/>
        </w:rPr>
      </w:pPr>
      <w:r>
        <w:t>Архитектурная схема и решение о целевой платформе.</w:t>
      </w:r>
    </w:p>
    <w:p w14:paraId="3DE90C40" w14:textId="77777777" w:rsidR="003957E6" w:rsidRDefault="008E24E4">
      <w:pPr>
        <w:pStyle w:val="a0"/>
        <w:rPr>
          <w:rFonts w:hint="eastAsia"/>
        </w:rPr>
      </w:pPr>
      <w:r>
        <w:t>Оценка объёмов данных, частоты синхронизации, RPO/RTO и требований к инфраструктуре.</w:t>
      </w:r>
    </w:p>
    <w:p w14:paraId="3087D901" w14:textId="77777777" w:rsidR="003957E6" w:rsidRDefault="008E24E4">
      <w:pPr>
        <w:pStyle w:val="a0"/>
        <w:rPr>
          <w:rFonts w:hint="eastAsia"/>
        </w:rPr>
      </w:pPr>
      <w:r>
        <w:t>План тестирования и эталонная контрольная выборка.</w:t>
      </w:r>
    </w:p>
    <w:sectPr w:rsidR="003957E6" w:rsidSect="00034616">
      <w:footerReference w:type="default" r:id="rId8"/>
      <w:pgSz w:w="12240" w:h="15840"/>
      <w:pgMar w:top="1037" w:right="1037" w:bottom="1037" w:left="112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A8012" w14:textId="77777777" w:rsidR="008E24E4" w:rsidRDefault="008E24E4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07F42080" w14:textId="77777777" w:rsidR="008E24E4" w:rsidRDefault="008E24E4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ans">
    <w:altName w:val="Arial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DFE20" w14:textId="77777777" w:rsidR="003957E6" w:rsidRDefault="008E24E4">
    <w:pPr>
      <w:pStyle w:val="a7"/>
      <w:jc w:val="center"/>
      <w:rPr>
        <w:rFonts w:hint="eastAsia"/>
      </w:rPr>
    </w:pPr>
    <w:r>
      <w:rPr>
        <w:color w:val="6E6E6E"/>
        <w:sz w:val="16"/>
      </w:rPr>
      <w:t xml:space="preserve">Техническое задание • </w:t>
    </w:r>
    <w:r>
      <w:fldChar w:fldCharType="begin"/>
    </w:r>
    <w:r>
      <w:instrText>PAGE</w:instrText>
    </w:r>
    <w:r>
      <w:rPr>
        <w:rFonts w:hint="eastAsia"/>
      </w:rPr>
      <w:fldChar w:fldCharType="separate"/>
    </w:r>
    <w:r>
      <w:rPr>
        <w:rFonts w:hint="eastAsia"/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69054B" w14:textId="77777777" w:rsidR="008E24E4" w:rsidRDefault="008E24E4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39D7456C" w14:textId="77777777" w:rsidR="008E24E4" w:rsidRDefault="008E24E4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23401828">
    <w:abstractNumId w:val="8"/>
  </w:num>
  <w:num w:numId="2" w16cid:durableId="1649362884">
    <w:abstractNumId w:val="6"/>
  </w:num>
  <w:num w:numId="3" w16cid:durableId="2097283854">
    <w:abstractNumId w:val="5"/>
  </w:num>
  <w:num w:numId="4" w16cid:durableId="1672102326">
    <w:abstractNumId w:val="4"/>
  </w:num>
  <w:num w:numId="5" w16cid:durableId="1569343372">
    <w:abstractNumId w:val="7"/>
  </w:num>
  <w:num w:numId="6" w16cid:durableId="1564103345">
    <w:abstractNumId w:val="3"/>
  </w:num>
  <w:num w:numId="7" w16cid:durableId="1325621877">
    <w:abstractNumId w:val="2"/>
  </w:num>
  <w:num w:numId="8" w16cid:durableId="318925718">
    <w:abstractNumId w:val="1"/>
  </w:num>
  <w:num w:numId="9" w16cid:durableId="1270316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4775A"/>
    <w:rsid w:val="0029639D"/>
    <w:rsid w:val="00326F90"/>
    <w:rsid w:val="003957E6"/>
    <w:rsid w:val="008E24E4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F79291"/>
  <w14:defaultImageDpi w14:val="300"/>
  <w15:docId w15:val="{B031A5A5-6067-7346-8795-E58635F8D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100" w:line="259" w:lineRule="auto"/>
    </w:pPr>
    <w:rPr>
      <w:rFonts w:ascii="Liberation Sans" w:hAnsi="Liberation Sans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163A5F"/>
      <w:sz w:val="30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b/>
      <w:bCs/>
      <w:color w:val="1F4E78"/>
      <w:sz w:val="25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b/>
      <w:bCs/>
      <w:color w:val="365F7D"/>
      <w:sz w:val="22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keepNext/>
      <w:pBdr>
        <w:bottom w:val="single" w:sz="8" w:space="4" w:color="4F81BD" w:themeColor="accent1"/>
      </w:pBdr>
      <w:spacing w:after="120" w:line="240" w:lineRule="auto"/>
      <w:contextualSpacing/>
    </w:pPr>
    <w:rPr>
      <w:rFonts w:asciiTheme="majorHAnsi" w:eastAsiaTheme="majorEastAsia" w:hAnsiTheme="majorHAnsi" w:cstheme="majorBidi"/>
      <w:b/>
      <w:color w:val="163A5F"/>
      <w:spacing w:val="5"/>
      <w:kern w:val="28"/>
      <w:sz w:val="50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3306</Words>
  <Characters>18848</Characters>
  <Application>Microsoft Office Word</Application>
  <DocSecurity>0</DocSecurity>
  <Lines>157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22110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задание — система расчёта экономической эффективности преподавателей</dc:title>
  <dc:subject>Тендерная документация</dc:subject>
  <dc:creator/>
  <cp:keywords>ТЗ, тендер, 1С, ЗУП, EduPage, эффективность преподавателей</cp:keywords>
  <dc:description>generated by python-docx</dc:description>
  <cp:lastModifiedBy>George Popandopulo</cp:lastModifiedBy>
  <cp:revision>2</cp:revision>
  <dcterms:created xsi:type="dcterms:W3CDTF">2026-09-11T13:23:00Z</dcterms:created>
  <dcterms:modified xsi:type="dcterms:W3CDTF">2026-09-11T13:23:00Z</dcterms:modified>
  <cp:category/>
</cp:coreProperties>
</file>